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782" w:rsidRPr="00094E0D" w:rsidRDefault="00597782" w:rsidP="00597782">
      <w:pPr>
        <w:pStyle w:val="1"/>
        <w:keepLines w:val="0"/>
        <w:tabs>
          <w:tab w:val="num" w:pos="0"/>
        </w:tabs>
        <w:suppressAutoHyphens/>
        <w:spacing w:before="0"/>
        <w:ind w:left="-851"/>
        <w:jc w:val="center"/>
        <w:rPr>
          <w:rFonts w:ascii="Times New Roman" w:hAnsi="Times New Roman" w:cs="Times New Roman"/>
          <w:color w:val="auto"/>
        </w:rPr>
      </w:pPr>
      <w:bookmarkStart w:id="0" w:name="_Toc374530008"/>
      <w:bookmarkStart w:id="1" w:name="_Toc375898289"/>
      <w:bookmarkStart w:id="2" w:name="_Toc375898873"/>
      <w:bookmarkStart w:id="3" w:name="_Toc376103895"/>
      <w:bookmarkStart w:id="4" w:name="_Toc376103992"/>
      <w:bookmarkStart w:id="5" w:name="_Toc376104150"/>
      <w:bookmarkStart w:id="6" w:name="_Toc376104276"/>
      <w:bookmarkStart w:id="7" w:name="_Toc376104424"/>
      <w:bookmarkStart w:id="8" w:name="_Toc376104501"/>
      <w:bookmarkStart w:id="9" w:name="_Toc376104549"/>
      <w:bookmarkStart w:id="10" w:name="_Toc376104614"/>
      <w:bookmarkStart w:id="11" w:name="_Toc376187121"/>
      <w:bookmarkStart w:id="12" w:name="_Toc376187181"/>
      <w:r w:rsidRPr="00094E0D">
        <w:rPr>
          <w:rStyle w:val="10"/>
          <w:rFonts w:ascii="Times New Roman" w:hAnsi="Times New Roman" w:cs="Times New Roman"/>
          <w:b/>
          <w:color w:val="auto"/>
          <w:szCs w:val="28"/>
        </w:rPr>
        <w:t>1. ИНФОРМАЦИОННАЯ КАРТА</w:t>
      </w:r>
      <w:bookmarkEnd w:id="0"/>
      <w:bookmarkEnd w:id="1"/>
      <w:bookmarkEnd w:id="2"/>
      <w:bookmarkEnd w:id="3"/>
      <w:bookmarkEnd w:id="4"/>
      <w:bookmarkEnd w:id="5"/>
      <w:bookmarkEnd w:id="6"/>
      <w:bookmarkEnd w:id="7"/>
      <w:bookmarkEnd w:id="8"/>
      <w:bookmarkEnd w:id="9"/>
      <w:bookmarkEnd w:id="10"/>
      <w:bookmarkEnd w:id="11"/>
      <w:bookmarkEnd w:id="12"/>
    </w:p>
    <w:p w:rsidR="00597782" w:rsidRPr="00094E0D" w:rsidRDefault="00597782" w:rsidP="00597782">
      <w:pPr>
        <w:keepLines/>
        <w:widowControl w:val="0"/>
        <w:suppressLineNumbers/>
        <w:suppressAutoHyphens/>
        <w:autoSpaceDE w:val="0"/>
        <w:autoSpaceDN w:val="0"/>
        <w:jc w:val="center"/>
        <w:rPr>
          <w:sz w:val="28"/>
          <w:szCs w:val="28"/>
        </w:rPr>
      </w:pPr>
    </w:p>
    <w:tbl>
      <w:tblPr>
        <w:tblW w:w="1074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2409"/>
        <w:gridCol w:w="7230"/>
      </w:tblGrid>
      <w:tr w:rsidR="00597782" w:rsidRPr="00094E0D" w:rsidTr="00597782">
        <w:trPr>
          <w:trHeight w:val="20"/>
          <w:tblHeader/>
        </w:trPr>
        <w:tc>
          <w:tcPr>
            <w:tcW w:w="1101" w:type="dxa"/>
            <w:vAlign w:val="center"/>
          </w:tcPr>
          <w:p w:rsidR="00597782" w:rsidRPr="00094E0D" w:rsidRDefault="00597782" w:rsidP="004F7F09">
            <w:pPr>
              <w:keepLines/>
              <w:widowControl w:val="0"/>
              <w:suppressLineNumbers/>
              <w:suppressAutoHyphens/>
              <w:autoSpaceDE w:val="0"/>
              <w:autoSpaceDN w:val="0"/>
              <w:jc w:val="center"/>
            </w:pPr>
            <w:r w:rsidRPr="00094E0D">
              <w:t>№</w:t>
            </w:r>
          </w:p>
          <w:p w:rsidR="00597782" w:rsidRPr="00094E0D" w:rsidRDefault="00597782" w:rsidP="004F7F09">
            <w:pPr>
              <w:pStyle w:val="11"/>
              <w:keepLines/>
              <w:widowControl w:val="0"/>
              <w:suppressLineNumbers/>
              <w:suppressAutoHyphens/>
              <w:autoSpaceDE w:val="0"/>
              <w:autoSpaceDN w:val="0"/>
              <w:ind w:left="0"/>
              <w:rPr>
                <w:color w:val="000000"/>
                <w:szCs w:val="24"/>
              </w:rPr>
            </w:pPr>
            <w:r w:rsidRPr="00094E0D">
              <w:rPr>
                <w:color w:val="000000"/>
                <w:szCs w:val="24"/>
              </w:rPr>
              <w:t>пункта</w:t>
            </w:r>
          </w:p>
        </w:tc>
        <w:tc>
          <w:tcPr>
            <w:tcW w:w="2409" w:type="dxa"/>
            <w:vAlign w:val="center"/>
          </w:tcPr>
          <w:p w:rsidR="00597782" w:rsidRPr="00094E0D" w:rsidRDefault="00597782" w:rsidP="004F7F09">
            <w:pPr>
              <w:keepLines/>
              <w:widowControl w:val="0"/>
              <w:suppressLineNumbers/>
              <w:suppressAutoHyphens/>
              <w:autoSpaceDE w:val="0"/>
              <w:autoSpaceDN w:val="0"/>
              <w:jc w:val="center"/>
            </w:pPr>
            <w:r w:rsidRPr="00094E0D">
              <w:t>Наименование</w:t>
            </w:r>
          </w:p>
        </w:tc>
        <w:tc>
          <w:tcPr>
            <w:tcW w:w="7230" w:type="dxa"/>
            <w:vAlign w:val="center"/>
          </w:tcPr>
          <w:p w:rsidR="00597782" w:rsidRPr="00094E0D" w:rsidRDefault="00597782" w:rsidP="004F7F09">
            <w:pPr>
              <w:keepLines/>
              <w:widowControl w:val="0"/>
              <w:suppressLineNumbers/>
              <w:suppressAutoHyphens/>
              <w:autoSpaceDE w:val="0"/>
              <w:autoSpaceDN w:val="0"/>
              <w:jc w:val="center"/>
            </w:pPr>
            <w:r w:rsidRPr="00094E0D">
              <w:t>Информация</w:t>
            </w:r>
          </w:p>
        </w:tc>
      </w:tr>
      <w:tr w:rsidR="00597782" w:rsidRPr="00094E0D" w:rsidTr="00597782">
        <w:trPr>
          <w:trHeight w:val="20"/>
        </w:trPr>
        <w:tc>
          <w:tcPr>
            <w:tcW w:w="1101" w:type="dxa"/>
          </w:tcPr>
          <w:p w:rsidR="00597782" w:rsidRPr="00094E0D" w:rsidRDefault="00597782" w:rsidP="00597782">
            <w:pPr>
              <w:pStyle w:val="11"/>
              <w:keepLines/>
              <w:widowControl w:val="0"/>
              <w:numPr>
                <w:ilvl w:val="0"/>
                <w:numId w:val="5"/>
              </w:numPr>
              <w:suppressLineNumbers/>
              <w:suppressAutoHyphens/>
              <w:autoSpaceDE w:val="0"/>
              <w:autoSpaceDN w:val="0"/>
              <w:rPr>
                <w:color w:val="000000"/>
                <w:szCs w:val="24"/>
              </w:rPr>
            </w:pPr>
            <w:bookmarkStart w:id="13" w:name="OLE_LINK116"/>
          </w:p>
        </w:tc>
        <w:tc>
          <w:tcPr>
            <w:tcW w:w="2409" w:type="dxa"/>
          </w:tcPr>
          <w:p w:rsidR="00597782" w:rsidRPr="00094E0D" w:rsidRDefault="00597782" w:rsidP="004F7F09">
            <w:pPr>
              <w:keepLines/>
              <w:widowControl w:val="0"/>
              <w:suppressLineNumbers/>
              <w:suppressAutoHyphens/>
              <w:autoSpaceDE w:val="0"/>
              <w:autoSpaceDN w:val="0"/>
            </w:pPr>
            <w:r w:rsidRPr="00094E0D">
              <w:t xml:space="preserve">Наименование заказчика, </w:t>
            </w:r>
            <w:r w:rsidR="009D395B" w:rsidRPr="00094E0D">
              <w:t xml:space="preserve">организатора конкурса, </w:t>
            </w:r>
            <w:r w:rsidRPr="00094E0D">
              <w:t>контактная информация</w:t>
            </w:r>
          </w:p>
        </w:tc>
        <w:tc>
          <w:tcPr>
            <w:tcW w:w="7230" w:type="dxa"/>
          </w:tcPr>
          <w:p w:rsidR="00597782" w:rsidRPr="00094E0D" w:rsidRDefault="00597782" w:rsidP="004F7F09">
            <w:pPr>
              <w:keepLines/>
              <w:widowControl w:val="0"/>
              <w:suppressLineNumbers/>
              <w:suppressAutoHyphens/>
              <w:autoSpaceDE w:val="0"/>
              <w:autoSpaceDN w:val="0"/>
            </w:pPr>
            <w:r w:rsidRPr="00094E0D">
              <w:t>НЕКОММЕРЧЕСКАЯ ОРГАНИЗАЦИЯ</w:t>
            </w:r>
          </w:p>
          <w:p w:rsidR="00597782" w:rsidRPr="00094E0D" w:rsidRDefault="00597782" w:rsidP="004F7F09">
            <w:pPr>
              <w:keepLines/>
              <w:widowControl w:val="0"/>
              <w:suppressLineNumbers/>
              <w:suppressAutoHyphens/>
              <w:autoSpaceDE w:val="0"/>
              <w:autoSpaceDN w:val="0"/>
            </w:pPr>
            <w:r w:rsidRPr="00094E0D">
              <w:t xml:space="preserve"> «АДЫГЕЙСКИЙ РЕСПУБЛИКАНСКИЙ ФОНД КАПИТАЛЬНОГО РЕМОНТА ОБЩЕГО ИМУЩЕСТВА В МНОГОКВАРТИРНЫХ ДОМАХ»</w:t>
            </w:r>
          </w:p>
          <w:p w:rsidR="00597782" w:rsidRPr="00094E0D" w:rsidRDefault="00597782" w:rsidP="004F7F09">
            <w:pPr>
              <w:keepLines/>
              <w:widowControl w:val="0"/>
              <w:suppressLineNumbers/>
              <w:suppressAutoHyphens/>
              <w:autoSpaceDE w:val="0"/>
              <w:autoSpaceDN w:val="0"/>
            </w:pPr>
            <w:r w:rsidRPr="00094E0D">
              <w:t xml:space="preserve"> (НО «АР ФОНД КАПРЕМОНТА МКД»)</w:t>
            </w:r>
          </w:p>
          <w:p w:rsidR="00597782" w:rsidRPr="00094E0D" w:rsidRDefault="00597782" w:rsidP="004F7F09">
            <w:pPr>
              <w:keepLines/>
              <w:widowControl w:val="0"/>
              <w:suppressLineNumbers/>
              <w:suppressAutoHyphens/>
              <w:autoSpaceDE w:val="0"/>
              <w:autoSpaceDN w:val="0"/>
            </w:pPr>
            <w:r w:rsidRPr="00094E0D">
              <w:t>385000, г. Майкоп, пер. Профсоюзный, 15А Тел.(8772)54-54-38, факс 54-54-38 E-</w:t>
            </w:r>
            <w:proofErr w:type="spellStart"/>
            <w:r w:rsidRPr="00094E0D">
              <w:t>mail</w:t>
            </w:r>
            <w:proofErr w:type="spellEnd"/>
            <w:r w:rsidRPr="00094E0D">
              <w:t xml:space="preserve">: kaprem01@mail.ru </w:t>
            </w:r>
          </w:p>
          <w:p w:rsidR="00597782" w:rsidRPr="00094E0D" w:rsidRDefault="00597782" w:rsidP="004F7F09">
            <w:pPr>
              <w:keepLines/>
              <w:widowControl w:val="0"/>
              <w:suppressLineNumbers/>
              <w:suppressAutoHyphens/>
              <w:autoSpaceDE w:val="0"/>
              <w:autoSpaceDN w:val="0"/>
            </w:pPr>
            <w:r w:rsidRPr="00094E0D">
              <w:t>ИНН 0105981008, КПП 010501001.</w:t>
            </w:r>
          </w:p>
          <w:p w:rsidR="00597782" w:rsidRPr="00094E0D" w:rsidRDefault="00597782" w:rsidP="004F7F09">
            <w:pPr>
              <w:keepLines/>
              <w:widowControl w:val="0"/>
              <w:suppressLineNumbers/>
              <w:suppressAutoHyphens/>
              <w:autoSpaceDE w:val="0"/>
              <w:autoSpaceDN w:val="0"/>
            </w:pPr>
            <w:r w:rsidRPr="00094E0D">
              <w:t>Контактные лица:</w:t>
            </w:r>
          </w:p>
          <w:p w:rsidR="00597782" w:rsidRPr="00094E0D" w:rsidRDefault="00597782" w:rsidP="004F7F09">
            <w:pPr>
              <w:keepLines/>
              <w:widowControl w:val="0"/>
              <w:suppressLineNumbers/>
              <w:suppressAutoHyphens/>
              <w:autoSpaceDE w:val="0"/>
              <w:autoSpaceDN w:val="0"/>
            </w:pPr>
            <w:proofErr w:type="spellStart"/>
            <w:r w:rsidRPr="00094E0D">
              <w:t>Натаов</w:t>
            </w:r>
            <w:proofErr w:type="spellEnd"/>
            <w:r w:rsidRPr="00094E0D">
              <w:t xml:space="preserve"> Рустам </w:t>
            </w:r>
            <w:proofErr w:type="spellStart"/>
            <w:r w:rsidRPr="00094E0D">
              <w:t>Асланович</w:t>
            </w:r>
            <w:proofErr w:type="spellEnd"/>
            <w:r w:rsidRPr="00094E0D">
              <w:t xml:space="preserve">      8(8772) 545468</w:t>
            </w:r>
          </w:p>
          <w:p w:rsidR="00597782" w:rsidRPr="00094E0D" w:rsidRDefault="00597782" w:rsidP="004F7F09">
            <w:pPr>
              <w:keepLines/>
              <w:widowControl w:val="0"/>
              <w:suppressLineNumbers/>
              <w:suppressAutoHyphens/>
              <w:autoSpaceDE w:val="0"/>
              <w:autoSpaceDN w:val="0"/>
            </w:pPr>
            <w:proofErr w:type="spellStart"/>
            <w:r w:rsidRPr="00094E0D">
              <w:t>Косинов</w:t>
            </w:r>
            <w:proofErr w:type="spellEnd"/>
            <w:r w:rsidRPr="00094E0D">
              <w:t xml:space="preserve"> Олег Анатольевич    8(8772) 526698</w:t>
            </w:r>
          </w:p>
        </w:tc>
      </w:tr>
      <w:tr w:rsidR="00597782" w:rsidRPr="00094E0D" w:rsidTr="00597782">
        <w:trPr>
          <w:trHeight w:val="20"/>
        </w:trPr>
        <w:tc>
          <w:tcPr>
            <w:tcW w:w="1101" w:type="dxa"/>
          </w:tcPr>
          <w:p w:rsidR="00597782" w:rsidRPr="00094E0D" w:rsidRDefault="00597782" w:rsidP="00597782">
            <w:pPr>
              <w:numPr>
                <w:ilvl w:val="0"/>
                <w:numId w:val="5"/>
              </w:numPr>
            </w:pPr>
            <w:bookmarkStart w:id="14" w:name="_Toc376103896"/>
            <w:bookmarkStart w:id="15" w:name="_Toc376103993"/>
            <w:bookmarkStart w:id="16" w:name="_Toc376104151"/>
            <w:bookmarkStart w:id="17" w:name="_Toc376104425"/>
            <w:bookmarkStart w:id="18" w:name="_Toc375898291"/>
            <w:bookmarkStart w:id="19" w:name="_Toc375898875"/>
            <w:bookmarkStart w:id="20" w:name="_Toc376103898"/>
            <w:bookmarkStart w:id="21" w:name="_Toc376103995"/>
            <w:bookmarkStart w:id="22" w:name="_Toc376104153"/>
            <w:bookmarkStart w:id="23" w:name="_Toc376104427"/>
            <w:bookmarkEnd w:id="14"/>
            <w:bookmarkEnd w:id="15"/>
            <w:bookmarkEnd w:id="16"/>
            <w:bookmarkEnd w:id="17"/>
            <w:bookmarkEnd w:id="18"/>
            <w:bookmarkEnd w:id="19"/>
            <w:bookmarkEnd w:id="20"/>
            <w:bookmarkEnd w:id="21"/>
            <w:bookmarkEnd w:id="22"/>
            <w:bookmarkEnd w:id="23"/>
          </w:p>
        </w:tc>
        <w:tc>
          <w:tcPr>
            <w:tcW w:w="2409" w:type="dxa"/>
          </w:tcPr>
          <w:p w:rsidR="00597782" w:rsidRPr="00094E0D" w:rsidRDefault="00597782" w:rsidP="004F7F09">
            <w:r w:rsidRPr="00094E0D">
              <w:t>Используемый способ определения поставщика (подрядчика, исполнителя)</w:t>
            </w:r>
          </w:p>
        </w:tc>
        <w:tc>
          <w:tcPr>
            <w:tcW w:w="7230" w:type="dxa"/>
          </w:tcPr>
          <w:p w:rsidR="00597782" w:rsidRPr="00094E0D" w:rsidRDefault="00597782" w:rsidP="004F7F09">
            <w:r w:rsidRPr="00094E0D">
              <w:t>Открытый конкурс</w:t>
            </w:r>
            <w:r w:rsidR="009D395B" w:rsidRPr="00094E0D">
              <w:t xml:space="preserve"> по отбору подрядной организации на выполнение работ (услуг) по капитальному ремонту МКД</w:t>
            </w:r>
          </w:p>
        </w:tc>
      </w:tr>
      <w:tr w:rsidR="00597782" w:rsidRPr="00094E0D" w:rsidTr="00597782">
        <w:trPr>
          <w:trHeight w:val="20"/>
        </w:trPr>
        <w:tc>
          <w:tcPr>
            <w:tcW w:w="1101" w:type="dxa"/>
          </w:tcPr>
          <w:p w:rsidR="00597782" w:rsidRPr="00094E0D" w:rsidRDefault="00597782" w:rsidP="00597782">
            <w:pPr>
              <w:numPr>
                <w:ilvl w:val="0"/>
                <w:numId w:val="5"/>
              </w:numPr>
            </w:pPr>
            <w:bookmarkStart w:id="24" w:name="_Toc375898292"/>
            <w:bookmarkStart w:id="25" w:name="_Toc375898876"/>
            <w:bookmarkStart w:id="26" w:name="_Toc376103899"/>
            <w:bookmarkStart w:id="27" w:name="_Toc376103996"/>
            <w:bookmarkStart w:id="28" w:name="_Toc376104154"/>
            <w:bookmarkStart w:id="29" w:name="_Toc376104428"/>
            <w:bookmarkEnd w:id="24"/>
            <w:bookmarkEnd w:id="25"/>
            <w:bookmarkEnd w:id="26"/>
            <w:bookmarkEnd w:id="27"/>
            <w:bookmarkEnd w:id="28"/>
            <w:bookmarkEnd w:id="29"/>
          </w:p>
        </w:tc>
        <w:tc>
          <w:tcPr>
            <w:tcW w:w="2409" w:type="dxa"/>
          </w:tcPr>
          <w:p w:rsidR="00597782" w:rsidRPr="00094E0D" w:rsidRDefault="00597782" w:rsidP="004F7F09">
            <w:r w:rsidRPr="00094E0D">
              <w:t>Официальный сайт, на котором размещена документация об электронном аукционе</w:t>
            </w:r>
          </w:p>
        </w:tc>
        <w:tc>
          <w:tcPr>
            <w:tcW w:w="7230" w:type="dxa"/>
          </w:tcPr>
          <w:p w:rsidR="00597782" w:rsidRPr="00094E0D" w:rsidRDefault="00597782" w:rsidP="004F7F09">
            <w:pPr>
              <w:rPr>
                <w:lang w:val="en-US"/>
              </w:rPr>
            </w:pPr>
            <w:proofErr w:type="spellStart"/>
            <w:r w:rsidRPr="00094E0D">
              <w:t>www</w:t>
            </w:r>
            <w:proofErr w:type="spellEnd"/>
            <w:r w:rsidRPr="00094E0D">
              <w:t>.</w:t>
            </w:r>
            <w:r w:rsidRPr="00094E0D">
              <w:rPr>
                <w:lang w:val="en-US"/>
              </w:rPr>
              <w:t>mkd01.ru</w:t>
            </w:r>
          </w:p>
          <w:p w:rsidR="00597782" w:rsidRPr="00094E0D" w:rsidRDefault="00597782" w:rsidP="004F7F09"/>
        </w:tc>
      </w:tr>
      <w:tr w:rsidR="00597782" w:rsidRPr="00094E0D" w:rsidTr="00597782">
        <w:trPr>
          <w:trHeight w:val="20"/>
        </w:trPr>
        <w:tc>
          <w:tcPr>
            <w:tcW w:w="1101" w:type="dxa"/>
          </w:tcPr>
          <w:p w:rsidR="00597782" w:rsidRPr="00094E0D" w:rsidRDefault="00597782" w:rsidP="00597782">
            <w:pPr>
              <w:numPr>
                <w:ilvl w:val="0"/>
                <w:numId w:val="5"/>
              </w:numPr>
            </w:pPr>
            <w:bookmarkStart w:id="30" w:name="_Toc375898293"/>
            <w:bookmarkStart w:id="31" w:name="_Toc375898877"/>
            <w:bookmarkStart w:id="32" w:name="_Toc375898294"/>
            <w:bookmarkStart w:id="33" w:name="_Toc375898878"/>
            <w:bookmarkStart w:id="34" w:name="_Toc375898296"/>
            <w:bookmarkStart w:id="35" w:name="_Toc375898880"/>
            <w:bookmarkStart w:id="36" w:name="_Toc375898298"/>
            <w:bookmarkStart w:id="37" w:name="_Toc375898882"/>
            <w:bookmarkStart w:id="38" w:name="_Toc376103900"/>
            <w:bookmarkStart w:id="39" w:name="_Toc376103997"/>
            <w:bookmarkStart w:id="40" w:name="_Toc376104155"/>
            <w:bookmarkStart w:id="41" w:name="_Toc376104429"/>
            <w:bookmarkEnd w:id="30"/>
            <w:bookmarkEnd w:id="31"/>
            <w:bookmarkEnd w:id="32"/>
            <w:bookmarkEnd w:id="33"/>
            <w:bookmarkEnd w:id="34"/>
            <w:bookmarkEnd w:id="35"/>
            <w:bookmarkEnd w:id="36"/>
            <w:bookmarkEnd w:id="37"/>
            <w:bookmarkEnd w:id="38"/>
            <w:bookmarkEnd w:id="39"/>
            <w:bookmarkEnd w:id="40"/>
            <w:bookmarkEnd w:id="41"/>
          </w:p>
        </w:tc>
        <w:tc>
          <w:tcPr>
            <w:tcW w:w="2409" w:type="dxa"/>
          </w:tcPr>
          <w:p w:rsidR="00597782" w:rsidRPr="00094E0D" w:rsidRDefault="00597782" w:rsidP="004F7F09">
            <w:r w:rsidRPr="00094E0D">
              <w:t>Наименование и описание объекта закупки и условий контракта</w:t>
            </w:r>
          </w:p>
          <w:p w:rsidR="00597782" w:rsidRPr="00094E0D" w:rsidRDefault="00597782" w:rsidP="004F7F09"/>
          <w:p w:rsidR="00597782" w:rsidRPr="00094E0D" w:rsidRDefault="00597782" w:rsidP="004F7F09">
            <w:r w:rsidRPr="00094E0D">
              <w:t>Объем, место и сроки выполнения работ.</w:t>
            </w:r>
          </w:p>
          <w:p w:rsidR="00597782" w:rsidRPr="00094E0D" w:rsidRDefault="00597782" w:rsidP="004F7F09"/>
          <w:p w:rsidR="00597782" w:rsidRPr="00094E0D" w:rsidRDefault="00597782" w:rsidP="004F7F09"/>
        </w:tc>
        <w:tc>
          <w:tcPr>
            <w:tcW w:w="7230" w:type="dxa"/>
          </w:tcPr>
          <w:p w:rsidR="00240CB2" w:rsidRPr="00094E0D" w:rsidRDefault="00A81ED2" w:rsidP="00240CB2">
            <w:r>
              <w:rPr>
                <w:color w:val="000000"/>
              </w:rPr>
              <w:t xml:space="preserve">Выполнение строительно-монтажных работ по капитальному ремонту </w:t>
            </w:r>
            <w:proofErr w:type="gramStart"/>
            <w:r>
              <w:rPr>
                <w:color w:val="000000"/>
              </w:rPr>
              <w:t>МКД :</w:t>
            </w:r>
            <w:proofErr w:type="gramEnd"/>
            <w:r>
              <w:rPr>
                <w:color w:val="000000"/>
              </w:rPr>
              <w:t xml:space="preserve"> </w:t>
            </w:r>
            <w:proofErr w:type="spellStart"/>
            <w:r>
              <w:rPr>
                <w:color w:val="000000"/>
              </w:rPr>
              <w:t>г.Майкоп</w:t>
            </w:r>
            <w:proofErr w:type="spellEnd"/>
            <w:r>
              <w:rPr>
                <w:color w:val="000000"/>
              </w:rPr>
              <w:t>, ул.Кирпичная,51</w:t>
            </w:r>
          </w:p>
          <w:p w:rsidR="00240CB2" w:rsidRPr="00094E0D" w:rsidRDefault="00240CB2" w:rsidP="00240CB2"/>
          <w:p w:rsidR="00970CE0" w:rsidRDefault="00970CE0" w:rsidP="00240CB2"/>
          <w:p w:rsidR="00970CE0" w:rsidRDefault="00970CE0" w:rsidP="00240CB2"/>
          <w:p w:rsidR="00597782" w:rsidRPr="00094E0D" w:rsidRDefault="00240CB2" w:rsidP="00240CB2">
            <w:r w:rsidRPr="00094E0D">
              <w:t xml:space="preserve">Объем работ: </w:t>
            </w:r>
            <w:r w:rsidR="00A81ED2">
              <w:t xml:space="preserve">согласно ведомости объема работ, Проектно-сметной документации </w:t>
            </w:r>
          </w:p>
          <w:p w:rsidR="00240CB2" w:rsidRPr="00094E0D" w:rsidRDefault="00240CB2" w:rsidP="00A81ED2">
            <w:r w:rsidRPr="00094E0D">
              <w:t>Срок исполнения работ(услуг</w:t>
            </w:r>
            <w:proofErr w:type="gramStart"/>
            <w:r w:rsidRPr="00094E0D">
              <w:t>)</w:t>
            </w:r>
            <w:r w:rsidR="00A46CC4">
              <w:t xml:space="preserve">: </w:t>
            </w:r>
            <w:r w:rsidRPr="00094E0D">
              <w:t xml:space="preserve"> </w:t>
            </w:r>
            <w:r w:rsidR="00A46CC4">
              <w:t xml:space="preserve"> </w:t>
            </w:r>
            <w:proofErr w:type="gramEnd"/>
            <w:r w:rsidR="00A81ED2">
              <w:t>в соответствии с условиями договора подряда</w:t>
            </w:r>
          </w:p>
        </w:tc>
      </w:tr>
      <w:tr w:rsidR="00597782" w:rsidRPr="00094E0D" w:rsidTr="00597782">
        <w:trPr>
          <w:trHeight w:val="20"/>
        </w:trPr>
        <w:tc>
          <w:tcPr>
            <w:tcW w:w="1101" w:type="dxa"/>
          </w:tcPr>
          <w:p w:rsidR="00597782" w:rsidRPr="00094E0D" w:rsidRDefault="00597782" w:rsidP="00597782">
            <w:pPr>
              <w:numPr>
                <w:ilvl w:val="0"/>
                <w:numId w:val="5"/>
              </w:numPr>
            </w:pPr>
          </w:p>
        </w:tc>
        <w:tc>
          <w:tcPr>
            <w:tcW w:w="2409" w:type="dxa"/>
          </w:tcPr>
          <w:p w:rsidR="00597782" w:rsidRPr="00094E0D" w:rsidRDefault="00597782" w:rsidP="004F7F09">
            <w:r w:rsidRPr="00094E0D">
              <w:t>Информация о валюте, используемой для формирования цены контракта и расчетов с поставщиком (подрядчиком, исполнителем)</w:t>
            </w:r>
          </w:p>
        </w:tc>
        <w:tc>
          <w:tcPr>
            <w:tcW w:w="7230" w:type="dxa"/>
          </w:tcPr>
          <w:p w:rsidR="00597782" w:rsidRPr="00094E0D" w:rsidRDefault="00597782" w:rsidP="004F7F09">
            <w:r w:rsidRPr="00094E0D">
              <w:t xml:space="preserve">Российский рубль </w:t>
            </w:r>
          </w:p>
        </w:tc>
      </w:tr>
      <w:tr w:rsidR="00597782" w:rsidRPr="00094E0D" w:rsidTr="00597782">
        <w:trPr>
          <w:trHeight w:val="20"/>
        </w:trPr>
        <w:tc>
          <w:tcPr>
            <w:tcW w:w="1101" w:type="dxa"/>
          </w:tcPr>
          <w:p w:rsidR="00597782" w:rsidRPr="00094E0D" w:rsidRDefault="00597782" w:rsidP="00597782">
            <w:pPr>
              <w:numPr>
                <w:ilvl w:val="0"/>
                <w:numId w:val="5"/>
              </w:numPr>
            </w:pPr>
          </w:p>
        </w:tc>
        <w:tc>
          <w:tcPr>
            <w:tcW w:w="2409" w:type="dxa"/>
          </w:tcPr>
          <w:p w:rsidR="00597782" w:rsidRPr="00094E0D" w:rsidRDefault="00597782" w:rsidP="00574ADF">
            <w:bookmarkStart w:id="42" w:name="last"/>
            <w:bookmarkEnd w:id="42"/>
            <w:r w:rsidRPr="00094E0D">
              <w:t xml:space="preserve">Начальная (максимальная) цена </w:t>
            </w:r>
            <w:r w:rsidR="00574ADF">
              <w:t>договора</w:t>
            </w:r>
          </w:p>
        </w:tc>
        <w:tc>
          <w:tcPr>
            <w:tcW w:w="7230" w:type="dxa"/>
          </w:tcPr>
          <w:p w:rsidR="00A81ED2" w:rsidRPr="000E4EC7" w:rsidRDefault="00A81ED2" w:rsidP="00A81ED2">
            <w:pPr>
              <w:ind w:firstLine="540"/>
              <w:jc w:val="both"/>
              <w:rPr>
                <w:color w:val="000000"/>
              </w:rPr>
            </w:pPr>
            <w:r w:rsidRPr="00FE32BE">
              <w:rPr>
                <w:color w:val="000000"/>
              </w:rPr>
              <w:t xml:space="preserve"> </w:t>
            </w:r>
            <w:r>
              <w:rPr>
                <w:color w:val="000000"/>
                <w:u w:val="single"/>
              </w:rPr>
              <w:t xml:space="preserve">3 409 244,00 рублей 00 копеек </w:t>
            </w:r>
            <w:proofErr w:type="gramStart"/>
            <w:r>
              <w:rPr>
                <w:color w:val="000000"/>
                <w:u w:val="single"/>
              </w:rPr>
              <w:t xml:space="preserve">за </w:t>
            </w:r>
            <w:r w:rsidRPr="000E4EC7">
              <w:rPr>
                <w:color w:val="000000"/>
                <w:u w:val="single"/>
              </w:rPr>
              <w:t xml:space="preserve"> вычетом</w:t>
            </w:r>
            <w:proofErr w:type="gramEnd"/>
            <w:r w:rsidRPr="000E4EC7">
              <w:rPr>
                <w:color w:val="000000"/>
                <w:u w:val="single"/>
              </w:rPr>
              <w:t xml:space="preserve"> расходов на оплату услуг строительного контроля в размере 1% от НМЦ договора подряда</w:t>
            </w:r>
          </w:p>
          <w:p w:rsidR="00A81ED2" w:rsidRPr="00FE32BE" w:rsidRDefault="00A81ED2" w:rsidP="00A81ED2">
            <w:pPr>
              <w:ind w:firstLine="540"/>
              <w:jc w:val="both"/>
              <w:rPr>
                <w:color w:val="000000"/>
              </w:rPr>
            </w:pPr>
          </w:p>
          <w:p w:rsidR="009D395B" w:rsidRPr="00094E0D" w:rsidRDefault="00597782" w:rsidP="004F7F09">
            <w:pPr>
              <w:jc w:val="both"/>
            </w:pPr>
            <w:r w:rsidRPr="00094E0D">
              <w:t>Начальная (максимальная) цена контракта включает в себя все расходы Поставщика,</w:t>
            </w:r>
            <w:r w:rsidR="00574ADF">
              <w:t xml:space="preserve"> предусмотренные условиями конкурсной документации и заключенного договора,</w:t>
            </w:r>
            <w:r w:rsidRPr="00094E0D">
              <w:t xml:space="preserve"> в том числе расходы на </w:t>
            </w:r>
            <w:r w:rsidRPr="00094E0D">
              <w:lastRenderedPageBreak/>
              <w:t>материалы, транспортные услуги, страхование, а также расходы на уплату налогов, сборов и других обязательных платежей.</w:t>
            </w:r>
            <w:r w:rsidR="009D395B" w:rsidRPr="00094E0D">
              <w:t xml:space="preserve"> </w:t>
            </w:r>
          </w:p>
          <w:p w:rsidR="009D395B" w:rsidRPr="00094E0D" w:rsidRDefault="009D395B" w:rsidP="004F7F09">
            <w:pPr>
              <w:jc w:val="both"/>
            </w:pPr>
          </w:p>
        </w:tc>
      </w:tr>
      <w:tr w:rsidR="00597782" w:rsidRPr="00094E0D" w:rsidTr="00597782">
        <w:trPr>
          <w:trHeight w:val="20"/>
        </w:trPr>
        <w:tc>
          <w:tcPr>
            <w:tcW w:w="1101" w:type="dxa"/>
          </w:tcPr>
          <w:p w:rsidR="00597782" w:rsidRPr="00094E0D" w:rsidRDefault="00597782" w:rsidP="00597782">
            <w:pPr>
              <w:numPr>
                <w:ilvl w:val="0"/>
                <w:numId w:val="5"/>
              </w:numPr>
            </w:pPr>
            <w:bookmarkStart w:id="43" w:name="_Toc375898299"/>
            <w:bookmarkStart w:id="44" w:name="_Toc375898883"/>
            <w:bookmarkStart w:id="45" w:name="_Toc376103901"/>
            <w:bookmarkStart w:id="46" w:name="_Toc376103998"/>
            <w:bookmarkStart w:id="47" w:name="_Toc376104156"/>
            <w:bookmarkStart w:id="48" w:name="_Toc376104430"/>
            <w:bookmarkEnd w:id="43"/>
            <w:bookmarkEnd w:id="44"/>
            <w:bookmarkEnd w:id="45"/>
            <w:bookmarkEnd w:id="46"/>
            <w:bookmarkEnd w:id="47"/>
            <w:bookmarkEnd w:id="48"/>
          </w:p>
        </w:tc>
        <w:tc>
          <w:tcPr>
            <w:tcW w:w="2409" w:type="dxa"/>
          </w:tcPr>
          <w:p w:rsidR="00597782" w:rsidRPr="00094E0D" w:rsidRDefault="00597782" w:rsidP="004F7F09">
            <w:r w:rsidRPr="00094E0D">
              <w:t xml:space="preserve">Источник финансирования </w:t>
            </w:r>
          </w:p>
          <w:p w:rsidR="00597782" w:rsidRPr="00094E0D" w:rsidRDefault="00597782" w:rsidP="004F7F09"/>
        </w:tc>
        <w:tc>
          <w:tcPr>
            <w:tcW w:w="7230" w:type="dxa"/>
          </w:tcPr>
          <w:p w:rsidR="00597782" w:rsidRPr="00094E0D" w:rsidRDefault="00FA16C2" w:rsidP="004F7F09">
            <w:r>
              <w:t>За счет средств собственников, формирующих фонд капитального ремонта МКД на счете (</w:t>
            </w:r>
            <w:proofErr w:type="gramStart"/>
            <w:r>
              <w:t>счетах)  Регионального</w:t>
            </w:r>
            <w:proofErr w:type="gramEnd"/>
            <w:r>
              <w:t xml:space="preserve"> оператора</w:t>
            </w:r>
          </w:p>
        </w:tc>
      </w:tr>
      <w:tr w:rsidR="00AD17B2" w:rsidRPr="00094E0D" w:rsidTr="00597782">
        <w:trPr>
          <w:trHeight w:val="755"/>
        </w:trPr>
        <w:tc>
          <w:tcPr>
            <w:tcW w:w="1101" w:type="dxa"/>
          </w:tcPr>
          <w:p w:rsidR="00AD17B2" w:rsidRPr="00094E0D" w:rsidRDefault="00AD17B2" w:rsidP="00597782">
            <w:pPr>
              <w:numPr>
                <w:ilvl w:val="0"/>
                <w:numId w:val="5"/>
              </w:numPr>
            </w:pPr>
          </w:p>
        </w:tc>
        <w:tc>
          <w:tcPr>
            <w:tcW w:w="2409" w:type="dxa"/>
          </w:tcPr>
          <w:p w:rsidR="00AD17B2" w:rsidRPr="00094E0D" w:rsidRDefault="00AD17B2" w:rsidP="004F7F09">
            <w:r>
              <w:t>Условия формирования цены Договора</w:t>
            </w:r>
          </w:p>
        </w:tc>
        <w:tc>
          <w:tcPr>
            <w:tcW w:w="7230" w:type="dxa"/>
          </w:tcPr>
          <w:p w:rsidR="00AD17B2" w:rsidRPr="00094E0D" w:rsidRDefault="00A81ED2" w:rsidP="00A46CC4">
            <w:r>
              <w:t>Договор на выполнение подрядных работ (услуг) заключается по цене, предложенной победителем открытого</w:t>
            </w:r>
            <w:r>
              <w:t xml:space="preserve"> </w:t>
            </w:r>
            <w:proofErr w:type="gramStart"/>
            <w:r>
              <w:t>конкурса</w:t>
            </w:r>
            <w:r>
              <w:t xml:space="preserve"> ,определенного</w:t>
            </w:r>
            <w:proofErr w:type="gramEnd"/>
            <w:r>
              <w:t xml:space="preserve"> по результатам процедуры</w:t>
            </w:r>
            <w:r>
              <w:t>, уменьшенной на 1% (оплаты услуг строительного контроля)</w:t>
            </w:r>
          </w:p>
        </w:tc>
      </w:tr>
      <w:tr w:rsidR="00597782" w:rsidRPr="00094E0D" w:rsidTr="00597782">
        <w:trPr>
          <w:trHeight w:val="755"/>
        </w:trPr>
        <w:tc>
          <w:tcPr>
            <w:tcW w:w="1101" w:type="dxa"/>
          </w:tcPr>
          <w:p w:rsidR="00597782" w:rsidRPr="00094E0D" w:rsidRDefault="00597782" w:rsidP="00597782">
            <w:pPr>
              <w:numPr>
                <w:ilvl w:val="0"/>
                <w:numId w:val="5"/>
              </w:numPr>
            </w:pPr>
            <w:bookmarkStart w:id="49" w:name="_Toc375898300"/>
            <w:bookmarkStart w:id="50" w:name="_Toc375898884"/>
            <w:bookmarkStart w:id="51" w:name="_Toc376103902"/>
            <w:bookmarkStart w:id="52" w:name="_Toc376103999"/>
            <w:bookmarkStart w:id="53" w:name="_Toc376104157"/>
            <w:bookmarkStart w:id="54" w:name="_Toc376104431"/>
            <w:bookmarkStart w:id="55" w:name="_Toc375898301"/>
            <w:bookmarkStart w:id="56" w:name="_Toc375898885"/>
            <w:bookmarkStart w:id="57" w:name="_Toc376103903"/>
            <w:bookmarkStart w:id="58" w:name="_Toc376104000"/>
            <w:bookmarkStart w:id="59" w:name="_Toc376104158"/>
            <w:bookmarkStart w:id="60" w:name="_Toc376104432"/>
            <w:bookmarkEnd w:id="49"/>
            <w:bookmarkEnd w:id="50"/>
            <w:bookmarkEnd w:id="51"/>
            <w:bookmarkEnd w:id="52"/>
            <w:bookmarkEnd w:id="53"/>
            <w:bookmarkEnd w:id="54"/>
            <w:bookmarkEnd w:id="55"/>
            <w:bookmarkEnd w:id="56"/>
            <w:bookmarkEnd w:id="57"/>
            <w:bookmarkEnd w:id="58"/>
            <w:bookmarkEnd w:id="59"/>
            <w:bookmarkEnd w:id="60"/>
          </w:p>
        </w:tc>
        <w:tc>
          <w:tcPr>
            <w:tcW w:w="2409" w:type="dxa"/>
          </w:tcPr>
          <w:p w:rsidR="00597782" w:rsidRPr="00094E0D" w:rsidRDefault="00597782" w:rsidP="004F7F09">
            <w:r w:rsidRPr="00094E0D">
              <w:t xml:space="preserve">Форма, сроки и порядок оплаты товара, работ, услуг </w:t>
            </w:r>
          </w:p>
        </w:tc>
        <w:tc>
          <w:tcPr>
            <w:tcW w:w="7230" w:type="dxa"/>
          </w:tcPr>
          <w:p w:rsidR="00597782" w:rsidRPr="00094E0D" w:rsidRDefault="00240CB2" w:rsidP="004F7F09">
            <w:r w:rsidRPr="00094E0D">
              <w:t xml:space="preserve">Оплата работ (услуг) производится согласно Унифицированным формам Утверждена постановлением Госкомстата </w:t>
            </w:r>
            <w:proofErr w:type="gramStart"/>
            <w:r w:rsidRPr="00094E0D">
              <w:t>России  КС</w:t>
            </w:r>
            <w:proofErr w:type="gramEnd"/>
            <w:r w:rsidRPr="00094E0D">
              <w:t>-2, КС-3;</w:t>
            </w:r>
          </w:p>
          <w:p w:rsidR="00094E0D" w:rsidRPr="00094E0D" w:rsidRDefault="00240CB2" w:rsidP="00094E0D">
            <w:r w:rsidRPr="00094E0D">
              <w:t>Предусмотрены: авансирование в размере 30 %</w:t>
            </w:r>
            <w:r w:rsidR="00094E0D" w:rsidRPr="00094E0D">
              <w:t>;</w:t>
            </w:r>
          </w:p>
          <w:p w:rsidR="00240CB2" w:rsidRPr="00094E0D" w:rsidRDefault="00240CB2" w:rsidP="00094E0D">
            <w:r w:rsidRPr="00094E0D">
              <w:t>промежуточные оплаты согласно условий</w:t>
            </w:r>
            <w:r w:rsidR="00094E0D" w:rsidRPr="00094E0D">
              <w:t xml:space="preserve"> Проекта</w:t>
            </w:r>
            <w:r w:rsidRPr="00094E0D">
              <w:t xml:space="preserve"> Договора</w:t>
            </w:r>
            <w:r w:rsidR="00094E0D" w:rsidRPr="00094E0D">
              <w:t>.</w:t>
            </w:r>
          </w:p>
        </w:tc>
      </w:tr>
      <w:tr w:rsidR="00597782" w:rsidRPr="00094E0D" w:rsidTr="00597782">
        <w:trPr>
          <w:trHeight w:val="4015"/>
        </w:trPr>
        <w:tc>
          <w:tcPr>
            <w:tcW w:w="1101" w:type="dxa"/>
          </w:tcPr>
          <w:p w:rsidR="00597782" w:rsidRPr="00094E0D" w:rsidRDefault="00597782" w:rsidP="00597782">
            <w:pPr>
              <w:numPr>
                <w:ilvl w:val="0"/>
                <w:numId w:val="5"/>
              </w:numPr>
            </w:pPr>
            <w:bookmarkStart w:id="61" w:name="_Toc375898302"/>
            <w:bookmarkStart w:id="62" w:name="_Toc375898886"/>
            <w:bookmarkStart w:id="63" w:name="_Toc376103904"/>
            <w:bookmarkStart w:id="64" w:name="_Toc376104001"/>
            <w:bookmarkStart w:id="65" w:name="_Toc376104159"/>
            <w:bookmarkStart w:id="66" w:name="_Toc376104433"/>
            <w:bookmarkEnd w:id="61"/>
            <w:bookmarkEnd w:id="62"/>
            <w:bookmarkEnd w:id="63"/>
            <w:bookmarkEnd w:id="64"/>
            <w:bookmarkEnd w:id="65"/>
            <w:bookmarkEnd w:id="66"/>
          </w:p>
        </w:tc>
        <w:tc>
          <w:tcPr>
            <w:tcW w:w="2409" w:type="dxa"/>
          </w:tcPr>
          <w:p w:rsidR="00597782" w:rsidRPr="00094E0D" w:rsidRDefault="00597782" w:rsidP="004F7F09">
            <w:r w:rsidRPr="00094E0D">
              <w:t>Требования к участникам закупки</w:t>
            </w:r>
          </w:p>
        </w:tc>
        <w:tc>
          <w:tcPr>
            <w:tcW w:w="7230" w:type="dxa"/>
          </w:tcPr>
          <w:p w:rsidR="00597782" w:rsidRPr="00094E0D" w:rsidRDefault="00597782" w:rsidP="004F7F09">
            <w:pPr>
              <w:jc w:val="both"/>
            </w:pPr>
            <w:r w:rsidRPr="00094E0D">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а именно:</w:t>
            </w:r>
          </w:p>
          <w:p w:rsidR="00597782" w:rsidRPr="00094E0D" w:rsidRDefault="00597782" w:rsidP="00597782">
            <w:pPr>
              <w:pStyle w:val="a7"/>
              <w:numPr>
                <w:ilvl w:val="0"/>
                <w:numId w:val="6"/>
              </w:numPr>
              <w:autoSpaceDE w:val="0"/>
              <w:autoSpaceDN w:val="0"/>
              <w:adjustRightInd w:val="0"/>
              <w:spacing w:after="0" w:line="240" w:lineRule="auto"/>
              <w:jc w:val="both"/>
              <w:rPr>
                <w:rFonts w:ascii="Times New Roman" w:hAnsi="Times New Roman" w:cs="Times New Roman"/>
                <w:sz w:val="24"/>
                <w:szCs w:val="24"/>
              </w:rPr>
            </w:pPr>
            <w:proofErr w:type="spellStart"/>
            <w:r w:rsidRPr="00094E0D">
              <w:rPr>
                <w:rFonts w:ascii="Times New Roman" w:hAnsi="Times New Roman" w:cs="Times New Roman"/>
                <w:sz w:val="24"/>
                <w:szCs w:val="24"/>
              </w:rPr>
              <w:t>непроведение</w:t>
            </w:r>
            <w:proofErr w:type="spellEnd"/>
            <w:r w:rsidRPr="00094E0D">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597782" w:rsidRPr="00094E0D" w:rsidRDefault="00597782" w:rsidP="00597782">
            <w:pPr>
              <w:pStyle w:val="a7"/>
              <w:numPr>
                <w:ilvl w:val="0"/>
                <w:numId w:val="6"/>
              </w:numPr>
              <w:autoSpaceDE w:val="0"/>
              <w:autoSpaceDN w:val="0"/>
              <w:adjustRightInd w:val="0"/>
              <w:spacing w:after="0" w:line="240" w:lineRule="auto"/>
              <w:jc w:val="both"/>
              <w:rPr>
                <w:rFonts w:ascii="Times New Roman" w:hAnsi="Times New Roman" w:cs="Times New Roman"/>
                <w:sz w:val="24"/>
                <w:szCs w:val="24"/>
              </w:rPr>
            </w:pPr>
            <w:proofErr w:type="spellStart"/>
            <w:r w:rsidRPr="00094E0D">
              <w:rPr>
                <w:rFonts w:ascii="Times New Roman" w:hAnsi="Times New Roman" w:cs="Times New Roman"/>
                <w:sz w:val="24"/>
                <w:szCs w:val="24"/>
              </w:rPr>
              <w:t>неприостановление</w:t>
            </w:r>
            <w:proofErr w:type="spellEnd"/>
            <w:r w:rsidRPr="00094E0D">
              <w:rPr>
                <w:rFonts w:ascii="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97782" w:rsidRPr="00094E0D" w:rsidRDefault="00597782" w:rsidP="00597782">
            <w:pPr>
              <w:numPr>
                <w:ilvl w:val="0"/>
                <w:numId w:val="6"/>
              </w:numPr>
              <w:autoSpaceDE w:val="0"/>
              <w:autoSpaceDN w:val="0"/>
              <w:adjustRightInd w:val="0"/>
              <w:jc w:val="both"/>
            </w:pPr>
            <w:r w:rsidRPr="00094E0D">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w:t>
            </w:r>
            <w:r w:rsidRPr="00094E0D">
              <w:lastRenderedPageBreak/>
              <w:t>определении поставщика (подрядчика, исполнителя) не принято;</w:t>
            </w:r>
          </w:p>
          <w:p w:rsidR="00597782" w:rsidRPr="00094E0D" w:rsidRDefault="00597782" w:rsidP="00597782">
            <w:pPr>
              <w:numPr>
                <w:ilvl w:val="0"/>
                <w:numId w:val="6"/>
              </w:numPr>
              <w:autoSpaceDE w:val="0"/>
              <w:autoSpaceDN w:val="0"/>
              <w:adjustRightInd w:val="0"/>
              <w:jc w:val="both"/>
            </w:pPr>
            <w:r w:rsidRPr="00094E0D">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97782" w:rsidRPr="00094E0D" w:rsidRDefault="00597782" w:rsidP="00597782">
            <w:pPr>
              <w:numPr>
                <w:ilvl w:val="0"/>
                <w:numId w:val="6"/>
              </w:numPr>
              <w:jc w:val="both"/>
            </w:pPr>
            <w:r w:rsidRPr="00094E0D">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председатель конкурсной комиссии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94E0D">
              <w:t>неполнородными</w:t>
            </w:r>
            <w:proofErr w:type="spellEnd"/>
            <w:r w:rsidRPr="00094E0D">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В зависимости от вида работ в конкурсной документации могут быть определены специальные квалификационные требования для допуска участников к конкурсу </w:t>
            </w:r>
          </w:p>
          <w:p w:rsidR="00597782" w:rsidRPr="00094E0D" w:rsidRDefault="00597782" w:rsidP="00597782">
            <w:pPr>
              <w:numPr>
                <w:ilvl w:val="0"/>
                <w:numId w:val="6"/>
              </w:numPr>
              <w:jc w:val="both"/>
            </w:pPr>
            <w:r w:rsidRPr="00094E0D">
              <w:t>отсутствие сведений об участнике размещения заказа в реестре недобросовестных поставщиков</w:t>
            </w:r>
          </w:p>
        </w:tc>
      </w:tr>
      <w:tr w:rsidR="00597782" w:rsidRPr="00094E0D" w:rsidTr="00597782">
        <w:trPr>
          <w:trHeight w:val="20"/>
        </w:trPr>
        <w:tc>
          <w:tcPr>
            <w:tcW w:w="1101" w:type="dxa"/>
          </w:tcPr>
          <w:p w:rsidR="00597782" w:rsidRPr="00094E0D" w:rsidRDefault="00597782" w:rsidP="00597782">
            <w:pPr>
              <w:numPr>
                <w:ilvl w:val="0"/>
                <w:numId w:val="5"/>
              </w:numPr>
            </w:pPr>
          </w:p>
          <w:p w:rsidR="00597782" w:rsidRPr="00094E0D" w:rsidRDefault="00597782" w:rsidP="004F7F09"/>
        </w:tc>
        <w:tc>
          <w:tcPr>
            <w:tcW w:w="2409" w:type="dxa"/>
            <w:vAlign w:val="center"/>
          </w:tcPr>
          <w:p w:rsidR="00597782" w:rsidRPr="00094E0D" w:rsidRDefault="00597782" w:rsidP="004F7F09">
            <w:r w:rsidRPr="00094E0D">
              <w:rPr>
                <w:rStyle w:val="u"/>
              </w:rPr>
              <w:t xml:space="preserve">Дополнительные требования </w:t>
            </w:r>
            <w:r w:rsidRPr="00094E0D">
              <w:t>к участникам закупки</w:t>
            </w:r>
          </w:p>
        </w:tc>
        <w:tc>
          <w:tcPr>
            <w:tcW w:w="7230" w:type="dxa"/>
          </w:tcPr>
          <w:p w:rsidR="00597782" w:rsidRPr="00094E0D" w:rsidRDefault="00597782" w:rsidP="00597782">
            <w:pPr>
              <w:numPr>
                <w:ilvl w:val="2"/>
                <w:numId w:val="3"/>
              </w:numPr>
              <w:ind w:left="0" w:firstLine="0"/>
              <w:jc w:val="both"/>
            </w:pPr>
            <w:r w:rsidRPr="00094E0D">
              <w:t xml:space="preserve">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w:t>
            </w:r>
            <w:r w:rsidRPr="00094E0D">
              <w:lastRenderedPageBreak/>
              <w:t xml:space="preserve">организацией (при проведении работ, указанных в перечне, утвержденном приказом </w:t>
            </w:r>
            <w:proofErr w:type="spellStart"/>
            <w:r w:rsidRPr="00094E0D">
              <w:t>Минрегиона</w:t>
            </w:r>
            <w:proofErr w:type="spellEnd"/>
            <w:r w:rsidRPr="00094E0D">
              <w:t xml:space="preserve"> России от 30 декабря 2009 года № 624).</w:t>
            </w:r>
          </w:p>
          <w:p w:rsidR="00597782" w:rsidRPr="00094E0D" w:rsidRDefault="00597782" w:rsidP="004F7F09">
            <w:pPr>
              <w:rPr>
                <w:lang w:val="ru"/>
              </w:rPr>
            </w:pPr>
          </w:p>
          <w:p w:rsidR="00597782" w:rsidRPr="00094E0D" w:rsidRDefault="00597782" w:rsidP="004F7F09"/>
        </w:tc>
      </w:tr>
      <w:tr w:rsidR="00597782" w:rsidRPr="00094E0D" w:rsidTr="00597782">
        <w:trPr>
          <w:trHeight w:val="20"/>
        </w:trPr>
        <w:tc>
          <w:tcPr>
            <w:tcW w:w="1101" w:type="dxa"/>
          </w:tcPr>
          <w:p w:rsidR="00597782" w:rsidRPr="00094E0D" w:rsidRDefault="00597782" w:rsidP="00597782">
            <w:pPr>
              <w:numPr>
                <w:ilvl w:val="0"/>
                <w:numId w:val="5"/>
              </w:numPr>
            </w:pPr>
            <w:bookmarkStart w:id="67" w:name="_Toc375898303"/>
            <w:bookmarkStart w:id="68" w:name="_Toc375898887"/>
            <w:bookmarkStart w:id="69" w:name="_Toc375898304"/>
            <w:bookmarkStart w:id="70" w:name="_Toc375898888"/>
            <w:bookmarkStart w:id="71" w:name="_Toc376103905"/>
            <w:bookmarkStart w:id="72" w:name="_Toc376104002"/>
            <w:bookmarkStart w:id="73" w:name="_Toc376104160"/>
            <w:bookmarkStart w:id="74" w:name="_Toc376104434"/>
            <w:bookmarkEnd w:id="67"/>
            <w:bookmarkEnd w:id="68"/>
            <w:bookmarkEnd w:id="69"/>
            <w:bookmarkEnd w:id="70"/>
            <w:bookmarkEnd w:id="71"/>
            <w:bookmarkEnd w:id="72"/>
            <w:bookmarkEnd w:id="73"/>
            <w:bookmarkEnd w:id="74"/>
          </w:p>
        </w:tc>
        <w:tc>
          <w:tcPr>
            <w:tcW w:w="2409" w:type="dxa"/>
            <w:vAlign w:val="center"/>
          </w:tcPr>
          <w:p w:rsidR="00597782" w:rsidRPr="00094E0D" w:rsidRDefault="00597782" w:rsidP="004F7F09">
            <w:bookmarkStart w:id="75" w:name="_Toc375898305"/>
            <w:bookmarkStart w:id="76" w:name="_Toc375898889"/>
            <w:bookmarkStart w:id="77" w:name="_Toc376103906"/>
            <w:bookmarkStart w:id="78" w:name="_Toc376104003"/>
            <w:bookmarkStart w:id="79" w:name="_Toc376104161"/>
            <w:bookmarkStart w:id="80" w:name="_Toc376104277"/>
            <w:bookmarkStart w:id="81" w:name="_Toc376104435"/>
            <w:r w:rsidRPr="00094E0D">
              <w:t xml:space="preserve">Преимущества, предоставляемые </w:t>
            </w:r>
            <w:bookmarkEnd w:id="75"/>
            <w:bookmarkEnd w:id="76"/>
            <w:bookmarkEnd w:id="77"/>
            <w:bookmarkEnd w:id="78"/>
            <w:bookmarkEnd w:id="79"/>
            <w:bookmarkEnd w:id="80"/>
            <w:bookmarkEnd w:id="81"/>
            <w:r w:rsidRPr="00094E0D">
              <w:t>Заказчиком</w:t>
            </w:r>
          </w:p>
          <w:p w:rsidR="00597782" w:rsidRPr="00094E0D" w:rsidRDefault="00597782" w:rsidP="004F7F09"/>
        </w:tc>
        <w:tc>
          <w:tcPr>
            <w:tcW w:w="7230" w:type="dxa"/>
          </w:tcPr>
          <w:p w:rsidR="00597782" w:rsidRPr="00094E0D" w:rsidRDefault="00597782" w:rsidP="004F7F09"/>
          <w:p w:rsidR="00597782" w:rsidRPr="00094E0D" w:rsidRDefault="00597782" w:rsidP="004F7F09">
            <w:r w:rsidRPr="00094E0D">
              <w:t>- не предусмотрены</w:t>
            </w:r>
          </w:p>
        </w:tc>
      </w:tr>
      <w:tr w:rsidR="00597782" w:rsidRPr="00094E0D" w:rsidTr="00597782">
        <w:trPr>
          <w:trHeight w:val="20"/>
        </w:trPr>
        <w:tc>
          <w:tcPr>
            <w:tcW w:w="1101" w:type="dxa"/>
          </w:tcPr>
          <w:p w:rsidR="00597782" w:rsidRPr="00094E0D" w:rsidRDefault="00597782" w:rsidP="00597782">
            <w:pPr>
              <w:numPr>
                <w:ilvl w:val="0"/>
                <w:numId w:val="5"/>
              </w:numPr>
            </w:pPr>
            <w:bookmarkStart w:id="82" w:name="_Toc375898306"/>
            <w:bookmarkStart w:id="83" w:name="_Toc375898890"/>
            <w:bookmarkStart w:id="84" w:name="_Toc376103907"/>
            <w:bookmarkStart w:id="85" w:name="_Toc376104004"/>
            <w:bookmarkStart w:id="86" w:name="_Toc376104162"/>
            <w:bookmarkStart w:id="87" w:name="_Toc376104436"/>
            <w:bookmarkEnd w:id="82"/>
            <w:bookmarkEnd w:id="83"/>
            <w:bookmarkEnd w:id="84"/>
            <w:bookmarkEnd w:id="85"/>
            <w:bookmarkEnd w:id="86"/>
            <w:bookmarkEnd w:id="87"/>
          </w:p>
        </w:tc>
        <w:tc>
          <w:tcPr>
            <w:tcW w:w="2409" w:type="dxa"/>
          </w:tcPr>
          <w:p w:rsidR="00597782" w:rsidRPr="00094E0D" w:rsidRDefault="00597782" w:rsidP="004F7F09">
            <w:r w:rsidRPr="00094E0D">
              <w:t xml:space="preserve">Дата начала и окончания срока предоставления участникам открытого Конкурса разъяснений положений документации </w:t>
            </w:r>
          </w:p>
        </w:tc>
        <w:tc>
          <w:tcPr>
            <w:tcW w:w="7230" w:type="dxa"/>
          </w:tcPr>
          <w:p w:rsidR="00597782" w:rsidRPr="00094E0D" w:rsidRDefault="00597782" w:rsidP="004F7F09">
            <w:r w:rsidRPr="00094E0D">
              <w:t>Дата начала предоставления разъяснений положений</w:t>
            </w:r>
            <w:r w:rsidR="009D395B" w:rsidRPr="00094E0D">
              <w:t xml:space="preserve"> конкурсной</w:t>
            </w:r>
            <w:r w:rsidRPr="00094E0D">
              <w:t xml:space="preserve"> </w:t>
            </w:r>
            <w:proofErr w:type="gramStart"/>
            <w:r w:rsidRPr="00094E0D">
              <w:t xml:space="preserve">документации:  </w:t>
            </w:r>
            <w:r w:rsidR="00094E0D" w:rsidRPr="00094E0D">
              <w:t xml:space="preserve"> </w:t>
            </w:r>
            <w:proofErr w:type="gramEnd"/>
            <w:r w:rsidR="00094E0D" w:rsidRPr="00094E0D">
              <w:t xml:space="preserve">                    </w:t>
            </w:r>
            <w:bookmarkStart w:id="88" w:name="_GoBack"/>
            <w:r w:rsidR="00A81ED2" w:rsidRPr="00A81ED2">
              <w:rPr>
                <w:color w:val="FF0000"/>
              </w:rPr>
              <w:t>09</w:t>
            </w:r>
            <w:bookmarkEnd w:id="88"/>
            <w:r w:rsidR="00A46CC4">
              <w:rPr>
                <w:color w:val="FF0000"/>
              </w:rPr>
              <w:t xml:space="preserve"> июня</w:t>
            </w:r>
            <w:r w:rsidRPr="00094E0D">
              <w:rPr>
                <w:color w:val="FF0000"/>
              </w:rPr>
              <w:t xml:space="preserve"> 2016г</w:t>
            </w:r>
            <w:r w:rsidRPr="00094E0D">
              <w:t>.</w:t>
            </w:r>
          </w:p>
          <w:p w:rsidR="00597782" w:rsidRPr="00094E0D" w:rsidRDefault="00597782" w:rsidP="00094507">
            <w:r w:rsidRPr="00094E0D">
              <w:t xml:space="preserve">Дата окончания предоставления разъяснений положений </w:t>
            </w:r>
            <w:r w:rsidR="009D395B" w:rsidRPr="00094E0D">
              <w:t xml:space="preserve">конкурсной </w:t>
            </w:r>
            <w:proofErr w:type="gramStart"/>
            <w:r w:rsidR="009D395B" w:rsidRPr="00094E0D">
              <w:t xml:space="preserve">документации:  </w:t>
            </w:r>
            <w:r w:rsidR="00094507">
              <w:rPr>
                <w:color w:val="FF0000"/>
              </w:rPr>
              <w:t>17</w:t>
            </w:r>
            <w:proofErr w:type="gramEnd"/>
            <w:r w:rsidR="00094507">
              <w:rPr>
                <w:color w:val="FF0000"/>
              </w:rPr>
              <w:t xml:space="preserve"> </w:t>
            </w:r>
            <w:r w:rsidR="00A46CC4">
              <w:rPr>
                <w:color w:val="FF0000"/>
              </w:rPr>
              <w:t>июня</w:t>
            </w:r>
            <w:r w:rsidRPr="00094E0D">
              <w:rPr>
                <w:color w:val="FF0000"/>
              </w:rPr>
              <w:t xml:space="preserve"> 2016г</w:t>
            </w:r>
            <w:r w:rsidRPr="00094E0D">
              <w:t>.</w:t>
            </w:r>
          </w:p>
        </w:tc>
      </w:tr>
      <w:tr w:rsidR="00597782" w:rsidRPr="00094E0D" w:rsidTr="00597782">
        <w:trPr>
          <w:trHeight w:val="20"/>
        </w:trPr>
        <w:tc>
          <w:tcPr>
            <w:tcW w:w="1101" w:type="dxa"/>
          </w:tcPr>
          <w:p w:rsidR="00597782" w:rsidRPr="00094E0D" w:rsidRDefault="00597782" w:rsidP="00597782">
            <w:pPr>
              <w:numPr>
                <w:ilvl w:val="0"/>
                <w:numId w:val="5"/>
              </w:numPr>
            </w:pPr>
            <w:bookmarkStart w:id="89" w:name="_Toc375898307"/>
            <w:bookmarkStart w:id="90" w:name="_Toc375898891"/>
            <w:bookmarkStart w:id="91" w:name="_Toc376103908"/>
            <w:bookmarkStart w:id="92" w:name="_Toc376104005"/>
            <w:bookmarkStart w:id="93" w:name="_Toc376104163"/>
            <w:bookmarkStart w:id="94" w:name="_Toc376104437"/>
            <w:bookmarkEnd w:id="89"/>
            <w:bookmarkEnd w:id="90"/>
            <w:bookmarkEnd w:id="91"/>
            <w:bookmarkEnd w:id="92"/>
            <w:bookmarkEnd w:id="93"/>
            <w:bookmarkEnd w:id="94"/>
          </w:p>
        </w:tc>
        <w:tc>
          <w:tcPr>
            <w:tcW w:w="2409" w:type="dxa"/>
          </w:tcPr>
          <w:p w:rsidR="00597782" w:rsidRPr="00094E0D" w:rsidRDefault="00597782" w:rsidP="004F7F09"/>
          <w:p w:rsidR="00597782" w:rsidRPr="00094E0D" w:rsidRDefault="00597782" w:rsidP="004F7F09">
            <w:r w:rsidRPr="00094E0D">
              <w:t>Дата и время окончания срока подачи заявок на участие открытом конкурсе</w:t>
            </w:r>
          </w:p>
        </w:tc>
        <w:tc>
          <w:tcPr>
            <w:tcW w:w="7230" w:type="dxa"/>
          </w:tcPr>
          <w:p w:rsidR="00597782" w:rsidRPr="00094E0D" w:rsidRDefault="00597782" w:rsidP="004F7F09">
            <w:r w:rsidRPr="00094E0D">
              <w:t xml:space="preserve">                     </w:t>
            </w:r>
          </w:p>
          <w:p w:rsidR="00597782" w:rsidRPr="00094E0D" w:rsidRDefault="00597782" w:rsidP="004F7F09">
            <w:pPr>
              <w:rPr>
                <w:color w:val="FF0000"/>
              </w:rPr>
            </w:pPr>
            <w:r w:rsidRPr="00094E0D">
              <w:rPr>
                <w:color w:val="FF0000"/>
              </w:rPr>
              <w:t xml:space="preserve">                        </w:t>
            </w:r>
            <w:r w:rsidR="00094507">
              <w:rPr>
                <w:color w:val="FF0000"/>
              </w:rPr>
              <w:t>24</w:t>
            </w:r>
            <w:r w:rsidRPr="00094E0D">
              <w:rPr>
                <w:color w:val="FF0000"/>
              </w:rPr>
              <w:t xml:space="preserve"> </w:t>
            </w:r>
            <w:r w:rsidR="00270C02">
              <w:rPr>
                <w:color w:val="FF0000"/>
              </w:rPr>
              <w:t>июня</w:t>
            </w:r>
            <w:r w:rsidRPr="00094E0D">
              <w:rPr>
                <w:color w:val="FF0000"/>
              </w:rPr>
              <w:t xml:space="preserve"> 2016 года в </w:t>
            </w:r>
            <w:r w:rsidR="009D395B" w:rsidRPr="00094E0D">
              <w:rPr>
                <w:color w:val="FF0000"/>
              </w:rPr>
              <w:t>1</w:t>
            </w:r>
            <w:r w:rsidR="00493BC1">
              <w:rPr>
                <w:color w:val="FF0000"/>
              </w:rPr>
              <w:t>0</w:t>
            </w:r>
            <w:r w:rsidR="009D395B" w:rsidRPr="00094E0D">
              <w:rPr>
                <w:color w:val="FF0000"/>
              </w:rPr>
              <w:t xml:space="preserve">-00 </w:t>
            </w:r>
            <w:r w:rsidRPr="00094E0D">
              <w:rPr>
                <w:color w:val="FF0000"/>
              </w:rPr>
              <w:t>(время московское).</w:t>
            </w:r>
          </w:p>
          <w:p w:rsidR="00597782" w:rsidRPr="00094E0D" w:rsidRDefault="00597782" w:rsidP="004F7F09"/>
        </w:tc>
      </w:tr>
      <w:tr w:rsidR="00597782" w:rsidRPr="00094E0D" w:rsidTr="00597782">
        <w:trPr>
          <w:trHeight w:val="20"/>
        </w:trPr>
        <w:tc>
          <w:tcPr>
            <w:tcW w:w="1101" w:type="dxa"/>
          </w:tcPr>
          <w:p w:rsidR="00597782" w:rsidRPr="00094E0D" w:rsidRDefault="00597782" w:rsidP="00597782">
            <w:pPr>
              <w:numPr>
                <w:ilvl w:val="0"/>
                <w:numId w:val="5"/>
              </w:numPr>
            </w:pPr>
            <w:bookmarkStart w:id="95" w:name="_Toc376103909"/>
            <w:bookmarkStart w:id="96" w:name="_Toc376104006"/>
            <w:bookmarkStart w:id="97" w:name="_Toc376104164"/>
            <w:bookmarkStart w:id="98" w:name="_Toc376104438"/>
            <w:bookmarkStart w:id="99" w:name="_Toc376103910"/>
            <w:bookmarkStart w:id="100" w:name="_Toc376104007"/>
            <w:bookmarkStart w:id="101" w:name="_Toc376104165"/>
            <w:bookmarkStart w:id="102" w:name="_Toc376104439"/>
            <w:bookmarkEnd w:id="95"/>
            <w:bookmarkEnd w:id="96"/>
            <w:bookmarkEnd w:id="97"/>
            <w:bookmarkEnd w:id="98"/>
            <w:bookmarkEnd w:id="99"/>
            <w:bookmarkEnd w:id="100"/>
            <w:bookmarkEnd w:id="101"/>
            <w:bookmarkEnd w:id="102"/>
          </w:p>
        </w:tc>
        <w:tc>
          <w:tcPr>
            <w:tcW w:w="2409" w:type="dxa"/>
          </w:tcPr>
          <w:p w:rsidR="00597782" w:rsidRPr="00094E0D" w:rsidRDefault="00597782" w:rsidP="004F7F09">
            <w:r w:rsidRPr="00094E0D">
              <w:t xml:space="preserve">Дата проведения открытого конкурса </w:t>
            </w:r>
          </w:p>
        </w:tc>
        <w:tc>
          <w:tcPr>
            <w:tcW w:w="7230" w:type="dxa"/>
          </w:tcPr>
          <w:p w:rsidR="009D395B" w:rsidRPr="00094E0D" w:rsidRDefault="00A81ED2" w:rsidP="004F7F09">
            <w:pPr>
              <w:rPr>
                <w:color w:val="FF0000"/>
              </w:rPr>
            </w:pPr>
            <w:r>
              <w:rPr>
                <w:color w:val="FF0000"/>
              </w:rPr>
              <w:t xml:space="preserve">                       </w:t>
            </w:r>
            <w:r w:rsidR="00094507">
              <w:rPr>
                <w:color w:val="FF0000"/>
              </w:rPr>
              <w:t>24</w:t>
            </w:r>
            <w:r w:rsidR="00270C02">
              <w:rPr>
                <w:color w:val="FF0000"/>
              </w:rPr>
              <w:t xml:space="preserve"> июня</w:t>
            </w:r>
            <w:r w:rsidR="00597782" w:rsidRPr="00094E0D">
              <w:rPr>
                <w:color w:val="FF0000"/>
              </w:rPr>
              <w:t xml:space="preserve"> 2016 года</w:t>
            </w:r>
            <w:r w:rsidR="009D395B" w:rsidRPr="00094E0D">
              <w:rPr>
                <w:color w:val="FF0000"/>
              </w:rPr>
              <w:t xml:space="preserve"> в 10-00 (время московское).</w:t>
            </w:r>
          </w:p>
          <w:p w:rsidR="00597782" w:rsidRPr="00094E0D" w:rsidRDefault="00094E0D" w:rsidP="004F7F09">
            <w:pPr>
              <w:rPr>
                <w:color w:val="FF0000"/>
              </w:rPr>
            </w:pPr>
            <w:r w:rsidRPr="00094E0D">
              <w:rPr>
                <w:color w:val="FF0000"/>
              </w:rPr>
              <w:t xml:space="preserve">                </w:t>
            </w:r>
            <w:proofErr w:type="gramStart"/>
            <w:r w:rsidR="009D395B" w:rsidRPr="00094E0D">
              <w:rPr>
                <w:color w:val="FF0000"/>
              </w:rPr>
              <w:t>Адрес  :</w:t>
            </w:r>
            <w:proofErr w:type="gramEnd"/>
            <w:r w:rsidR="009D395B" w:rsidRPr="00094E0D">
              <w:rPr>
                <w:color w:val="FF0000"/>
              </w:rPr>
              <w:t xml:space="preserve"> Республика Адыгея, </w:t>
            </w:r>
            <w:proofErr w:type="spellStart"/>
            <w:r w:rsidR="009D395B" w:rsidRPr="00094E0D">
              <w:rPr>
                <w:color w:val="FF0000"/>
              </w:rPr>
              <w:t>г.Майкоп</w:t>
            </w:r>
            <w:proofErr w:type="spellEnd"/>
            <w:r w:rsidR="009D395B" w:rsidRPr="00094E0D">
              <w:rPr>
                <w:color w:val="FF0000"/>
              </w:rPr>
              <w:t>, ул.Ленина,40</w:t>
            </w:r>
            <w:r w:rsidR="00597782" w:rsidRPr="00094E0D">
              <w:rPr>
                <w:color w:val="FF0000"/>
              </w:rPr>
              <w:t xml:space="preserve">. </w:t>
            </w:r>
          </w:p>
          <w:p w:rsidR="00597782" w:rsidRPr="00094E0D" w:rsidRDefault="00597782" w:rsidP="009D395B"/>
        </w:tc>
      </w:tr>
      <w:tr w:rsidR="00597782" w:rsidRPr="00094E0D" w:rsidTr="00597782">
        <w:trPr>
          <w:trHeight w:val="20"/>
        </w:trPr>
        <w:tc>
          <w:tcPr>
            <w:tcW w:w="1101" w:type="dxa"/>
          </w:tcPr>
          <w:p w:rsidR="00597782" w:rsidRPr="00094E0D" w:rsidRDefault="00597782" w:rsidP="00597782">
            <w:pPr>
              <w:numPr>
                <w:ilvl w:val="0"/>
                <w:numId w:val="5"/>
              </w:numPr>
            </w:pPr>
            <w:bookmarkStart w:id="103" w:name="_Toc375898308"/>
            <w:bookmarkStart w:id="104" w:name="_Toc375898892"/>
            <w:bookmarkStart w:id="105" w:name="_Toc376103911"/>
            <w:bookmarkStart w:id="106" w:name="_Toc376104008"/>
            <w:bookmarkStart w:id="107" w:name="_Toc376104166"/>
            <w:bookmarkStart w:id="108" w:name="_Toc376104440"/>
            <w:bookmarkEnd w:id="103"/>
            <w:bookmarkEnd w:id="104"/>
            <w:bookmarkEnd w:id="105"/>
            <w:bookmarkEnd w:id="106"/>
            <w:bookmarkEnd w:id="107"/>
            <w:bookmarkEnd w:id="108"/>
          </w:p>
        </w:tc>
        <w:tc>
          <w:tcPr>
            <w:tcW w:w="2409" w:type="dxa"/>
          </w:tcPr>
          <w:p w:rsidR="00597782" w:rsidRPr="00094E0D" w:rsidRDefault="00597782" w:rsidP="004F7F09">
            <w:r w:rsidRPr="00094E0D">
              <w:t xml:space="preserve">Документы и сведения, входящие в состав заявки на участие в открытом конкурсе </w:t>
            </w:r>
          </w:p>
        </w:tc>
        <w:tc>
          <w:tcPr>
            <w:tcW w:w="7230" w:type="dxa"/>
          </w:tcPr>
          <w:p w:rsidR="00597782" w:rsidRPr="00094E0D" w:rsidRDefault="00597782" w:rsidP="004F7F09">
            <w:pPr>
              <w:autoSpaceDE w:val="0"/>
              <w:autoSpaceDN w:val="0"/>
              <w:adjustRightInd w:val="0"/>
              <w:jc w:val="both"/>
            </w:pPr>
            <w:r w:rsidRPr="00094E0D">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597782" w:rsidRPr="00094E0D" w:rsidRDefault="00597782" w:rsidP="00597782">
            <w:pPr>
              <w:numPr>
                <w:ilvl w:val="2"/>
                <w:numId w:val="3"/>
              </w:numPr>
              <w:autoSpaceDE w:val="0"/>
              <w:autoSpaceDN w:val="0"/>
              <w:adjustRightInd w:val="0"/>
              <w:ind w:left="0" w:firstLine="0"/>
              <w:jc w:val="both"/>
            </w:pPr>
            <w:r w:rsidRPr="00094E0D">
              <w:t>Опись входящих в состав заявки документов по форме согласно приложению 2 к настоящей конкурсной документации;</w:t>
            </w:r>
          </w:p>
          <w:p w:rsidR="00597782" w:rsidRPr="00094E0D" w:rsidRDefault="00597782" w:rsidP="00597782">
            <w:pPr>
              <w:numPr>
                <w:ilvl w:val="2"/>
                <w:numId w:val="3"/>
              </w:numPr>
              <w:autoSpaceDE w:val="0"/>
              <w:autoSpaceDN w:val="0"/>
              <w:adjustRightInd w:val="0"/>
              <w:ind w:left="0" w:firstLine="0"/>
              <w:jc w:val="both"/>
            </w:pPr>
            <w:r w:rsidRPr="00094E0D">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597782" w:rsidRPr="00094E0D" w:rsidRDefault="00597782" w:rsidP="00597782">
            <w:pPr>
              <w:numPr>
                <w:ilvl w:val="2"/>
                <w:numId w:val="3"/>
              </w:numPr>
              <w:autoSpaceDE w:val="0"/>
              <w:autoSpaceDN w:val="0"/>
              <w:adjustRightInd w:val="0"/>
              <w:ind w:left="0" w:firstLine="0"/>
              <w:jc w:val="both"/>
            </w:pPr>
            <w:r w:rsidRPr="00094E0D">
              <w:t xml:space="preserve">Документ или копия документа, подтверждающий внесение обеспечения заявки (если обеспечение заявки предусмотрено конкурсной документацией); </w:t>
            </w:r>
          </w:p>
          <w:p w:rsidR="00597782" w:rsidRPr="00094E0D" w:rsidRDefault="00597782" w:rsidP="00597782">
            <w:pPr>
              <w:numPr>
                <w:ilvl w:val="2"/>
                <w:numId w:val="3"/>
              </w:numPr>
              <w:autoSpaceDE w:val="0"/>
              <w:autoSpaceDN w:val="0"/>
              <w:adjustRightInd w:val="0"/>
              <w:ind w:left="0" w:firstLine="0"/>
              <w:jc w:val="both"/>
            </w:pPr>
            <w:r w:rsidRPr="00094E0D">
              <w:t xml:space="preserve">Документы или копии документов, подтверждающие опыт работы специалистов подрядчика на объектах аналогах </w:t>
            </w:r>
            <w:proofErr w:type="gramStart"/>
            <w:r w:rsidRPr="00094E0D">
              <w:t>и  соответствие</w:t>
            </w:r>
            <w:proofErr w:type="gramEnd"/>
            <w:r w:rsidRPr="00094E0D">
              <w:t xml:space="preserve"> квалификационным требованиям; </w:t>
            </w:r>
          </w:p>
          <w:p w:rsidR="00597782" w:rsidRPr="00094E0D" w:rsidRDefault="00597782" w:rsidP="00597782">
            <w:pPr>
              <w:numPr>
                <w:ilvl w:val="2"/>
                <w:numId w:val="3"/>
              </w:numPr>
              <w:autoSpaceDE w:val="0"/>
              <w:autoSpaceDN w:val="0"/>
              <w:adjustRightInd w:val="0"/>
              <w:ind w:left="0" w:firstLine="0"/>
              <w:jc w:val="both"/>
            </w:pPr>
            <w:r w:rsidRPr="00094E0D">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597782" w:rsidRPr="00094E0D" w:rsidRDefault="00597782" w:rsidP="00597782">
            <w:pPr>
              <w:numPr>
                <w:ilvl w:val="2"/>
                <w:numId w:val="3"/>
              </w:numPr>
              <w:ind w:left="0" w:firstLine="0"/>
              <w:jc w:val="both"/>
            </w:pPr>
            <w:r w:rsidRPr="00094E0D">
              <w:lastRenderedPageBreak/>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597782" w:rsidRPr="00094E0D" w:rsidRDefault="00597782" w:rsidP="00597782">
            <w:pPr>
              <w:numPr>
                <w:ilvl w:val="2"/>
                <w:numId w:val="3"/>
              </w:numPr>
              <w:ind w:left="0" w:firstLine="0"/>
              <w:jc w:val="both"/>
            </w:pPr>
            <w:r w:rsidRPr="00094E0D">
              <w:t>Нотариально заверенная копия свидетельства о постановке на учет в налоговом органе;</w:t>
            </w:r>
          </w:p>
          <w:p w:rsidR="00597782" w:rsidRPr="00094E0D" w:rsidRDefault="00597782" w:rsidP="00597782">
            <w:pPr>
              <w:numPr>
                <w:ilvl w:val="2"/>
                <w:numId w:val="3"/>
              </w:numPr>
              <w:ind w:left="0" w:firstLine="0"/>
              <w:jc w:val="both"/>
            </w:pPr>
            <w:r w:rsidRPr="00094E0D">
              <w:t xml:space="preserve">Нотариально заверенная копия свидетельства о государственной регистрации; </w:t>
            </w:r>
          </w:p>
          <w:p w:rsidR="00597782" w:rsidRPr="00094E0D" w:rsidRDefault="00597782" w:rsidP="00597782">
            <w:pPr>
              <w:numPr>
                <w:ilvl w:val="2"/>
                <w:numId w:val="3"/>
              </w:numPr>
              <w:ind w:left="0" w:firstLine="0"/>
              <w:jc w:val="both"/>
            </w:pPr>
            <w:r w:rsidRPr="00094E0D">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597782" w:rsidRPr="00094E0D" w:rsidRDefault="00597782" w:rsidP="00597782">
            <w:pPr>
              <w:numPr>
                <w:ilvl w:val="2"/>
                <w:numId w:val="3"/>
              </w:numPr>
              <w:ind w:left="0" w:firstLine="0"/>
              <w:jc w:val="both"/>
            </w:pPr>
            <w:r w:rsidRPr="00094E0D">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один месяца до даты подачи заявки;</w:t>
            </w:r>
          </w:p>
          <w:p w:rsidR="00597782" w:rsidRPr="00094E0D" w:rsidRDefault="00597782" w:rsidP="00597782">
            <w:pPr>
              <w:numPr>
                <w:ilvl w:val="2"/>
                <w:numId w:val="3"/>
              </w:numPr>
              <w:ind w:left="0" w:firstLine="0"/>
              <w:jc w:val="both"/>
            </w:pPr>
            <w:r w:rsidRPr="00094E0D">
              <w:t>Справка из налогового органа по месту регистрации участника Конкурса о наличии открытых расчетных счетов, выданная органом регистрации участника не позднее 30 дней до даты подачи заявки на участие в конкурсе.</w:t>
            </w:r>
          </w:p>
          <w:p w:rsidR="00597782" w:rsidRPr="00094E0D" w:rsidRDefault="00597782" w:rsidP="00597782">
            <w:pPr>
              <w:numPr>
                <w:ilvl w:val="2"/>
                <w:numId w:val="3"/>
              </w:numPr>
              <w:ind w:left="0" w:firstLine="0"/>
              <w:jc w:val="both"/>
            </w:pPr>
            <w:r w:rsidRPr="00094E0D">
              <w:t>Подтверждающие документы из обслуживающих банков об отсутствии Картотеки №</w:t>
            </w:r>
            <w:proofErr w:type="gramStart"/>
            <w:r w:rsidRPr="00094E0D">
              <w:t>1,  ссудной</w:t>
            </w:r>
            <w:proofErr w:type="gramEnd"/>
            <w:r w:rsidRPr="00094E0D">
              <w:t xml:space="preserve"> задолженности и претензий к счету( Картотека №2) по расчетному счету (счетам)</w:t>
            </w:r>
          </w:p>
          <w:p w:rsidR="00597782" w:rsidRPr="00094E0D" w:rsidRDefault="00597782" w:rsidP="00597782">
            <w:pPr>
              <w:numPr>
                <w:ilvl w:val="2"/>
                <w:numId w:val="3"/>
              </w:numPr>
              <w:ind w:left="0" w:firstLine="0"/>
              <w:jc w:val="both"/>
            </w:pPr>
            <w:r w:rsidRPr="00094E0D">
              <w:t xml:space="preserve">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w:t>
            </w:r>
            <w:proofErr w:type="spellStart"/>
            <w:r w:rsidRPr="00094E0D">
              <w:t>Минрегиона</w:t>
            </w:r>
            <w:proofErr w:type="spellEnd"/>
            <w:r w:rsidRPr="00094E0D">
              <w:t xml:space="preserve"> России от 30 декабря 2009 года № 624).</w:t>
            </w:r>
          </w:p>
          <w:p w:rsidR="00597782" w:rsidRPr="00094E0D" w:rsidRDefault="00597782" w:rsidP="00597782">
            <w:pPr>
              <w:pStyle w:val="a8"/>
              <w:numPr>
                <w:ilvl w:val="2"/>
                <w:numId w:val="4"/>
              </w:numPr>
              <w:ind w:left="851" w:hanging="914"/>
              <w:rPr>
                <w:rFonts w:ascii="Times New Roman" w:hAnsi="Times New Roman" w:cs="Times New Roman"/>
                <w:sz w:val="24"/>
                <w:szCs w:val="24"/>
                <w:shd w:val="clear" w:color="auto" w:fill="FFFFFF"/>
              </w:rPr>
            </w:pPr>
            <w:r w:rsidRPr="00094E0D">
              <w:rPr>
                <w:rFonts w:ascii="Times New Roman" w:hAnsi="Times New Roman" w:cs="Times New Roman"/>
                <w:sz w:val="24"/>
                <w:szCs w:val="24"/>
              </w:rPr>
              <w:t xml:space="preserve">Копия документа, содержащая достоверные сведения о действующих договоренностях участника конкурса в соответствии с положениями </w:t>
            </w:r>
            <w:r w:rsidRPr="00094E0D">
              <w:rPr>
                <w:rFonts w:ascii="Times New Roman" w:hAnsi="Times New Roman" w:cs="Times New Roman"/>
                <w:sz w:val="24"/>
                <w:szCs w:val="24"/>
                <w:shd w:val="clear" w:color="auto" w:fill="FFFFFF"/>
              </w:rPr>
              <w:t>Градостроительного кодекса Российской Федерации;</w:t>
            </w:r>
            <w:r w:rsidRPr="00094E0D">
              <w:rPr>
                <w:rFonts w:ascii="Times New Roman" w:hAnsi="Times New Roman" w:cs="Times New Roman"/>
                <w:sz w:val="24"/>
                <w:szCs w:val="24"/>
              </w:rPr>
              <w:t xml:space="preserve"> </w:t>
            </w:r>
            <w:r w:rsidRPr="00094E0D">
              <w:rPr>
                <w:rFonts w:ascii="Times New Roman" w:hAnsi="Times New Roman" w:cs="Times New Roman"/>
                <w:sz w:val="24"/>
                <w:szCs w:val="24"/>
                <w:shd w:val="clear" w:color="auto" w:fill="FFFFFF"/>
              </w:rPr>
              <w:t>Закона Российской Федерации от 27.11.1992 г. № 4015-1 «Об организации страхового дела в Российской Федерации»;</w:t>
            </w:r>
            <w:r w:rsidRPr="00094E0D">
              <w:rPr>
                <w:rFonts w:ascii="Times New Roman" w:hAnsi="Times New Roman" w:cs="Times New Roman"/>
                <w:sz w:val="24"/>
                <w:szCs w:val="24"/>
              </w:rPr>
              <w:t xml:space="preserve"> </w:t>
            </w:r>
            <w:r w:rsidRPr="00094E0D">
              <w:rPr>
                <w:rFonts w:ascii="Times New Roman" w:hAnsi="Times New Roman" w:cs="Times New Roman"/>
                <w:sz w:val="24"/>
                <w:szCs w:val="24"/>
                <w:shd w:val="clear" w:color="auto" w:fill="FFFFFF"/>
              </w:rPr>
              <w:t>Федерального закона от 01.12.2007 г. № 315-ФЗ «О саморегулируемых организациях».</w:t>
            </w:r>
          </w:p>
          <w:p w:rsidR="00597782" w:rsidRPr="00094E0D" w:rsidRDefault="00597782" w:rsidP="00597782">
            <w:pPr>
              <w:pStyle w:val="a8"/>
              <w:numPr>
                <w:ilvl w:val="2"/>
                <w:numId w:val="4"/>
              </w:numPr>
              <w:ind w:left="851" w:hanging="914"/>
              <w:rPr>
                <w:rFonts w:ascii="Times New Roman" w:hAnsi="Times New Roman" w:cs="Times New Roman"/>
                <w:sz w:val="24"/>
                <w:szCs w:val="24"/>
                <w:shd w:val="clear" w:color="auto" w:fill="FFFFFF"/>
              </w:rPr>
            </w:pPr>
            <w:r w:rsidRPr="00094E0D">
              <w:rPr>
                <w:rFonts w:ascii="Times New Roman" w:hAnsi="Times New Roman" w:cs="Times New Roman"/>
                <w:sz w:val="24"/>
                <w:szCs w:val="24"/>
                <w:shd w:val="clear" w:color="auto" w:fill="FFFFFF"/>
              </w:rPr>
              <w:t xml:space="preserve">Декларация (в свободной форме) о соответствии участника конкурса требованиям п.2.1-2.5 Приложения 1к приказу № </w:t>
            </w:r>
            <w:r w:rsidR="009D395B" w:rsidRPr="00094E0D">
              <w:rPr>
                <w:rFonts w:ascii="Times New Roman" w:hAnsi="Times New Roman" w:cs="Times New Roman"/>
                <w:color w:val="FF0000"/>
                <w:sz w:val="24"/>
                <w:szCs w:val="24"/>
                <w:shd w:val="clear" w:color="auto" w:fill="FFFFFF"/>
              </w:rPr>
              <w:t>10-</w:t>
            </w:r>
            <w:proofErr w:type="gramStart"/>
            <w:r w:rsidR="009D395B" w:rsidRPr="00094E0D">
              <w:rPr>
                <w:rFonts w:ascii="Times New Roman" w:hAnsi="Times New Roman" w:cs="Times New Roman"/>
                <w:color w:val="FF0000"/>
                <w:sz w:val="24"/>
                <w:szCs w:val="24"/>
                <w:shd w:val="clear" w:color="auto" w:fill="FFFFFF"/>
              </w:rPr>
              <w:t>п  от</w:t>
            </w:r>
            <w:proofErr w:type="gramEnd"/>
            <w:r w:rsidR="009D395B" w:rsidRPr="00094E0D">
              <w:rPr>
                <w:rFonts w:ascii="Times New Roman" w:hAnsi="Times New Roman" w:cs="Times New Roman"/>
                <w:color w:val="FF0000"/>
                <w:sz w:val="24"/>
                <w:szCs w:val="24"/>
                <w:shd w:val="clear" w:color="auto" w:fill="FFFFFF"/>
              </w:rPr>
              <w:t xml:space="preserve"> «15</w:t>
            </w:r>
            <w:r w:rsidRPr="00094E0D">
              <w:rPr>
                <w:rFonts w:ascii="Times New Roman" w:hAnsi="Times New Roman" w:cs="Times New Roman"/>
                <w:color w:val="FF0000"/>
                <w:sz w:val="24"/>
                <w:szCs w:val="24"/>
                <w:shd w:val="clear" w:color="auto" w:fill="FFFFFF"/>
              </w:rPr>
              <w:t xml:space="preserve">» </w:t>
            </w:r>
            <w:r w:rsidR="009D395B" w:rsidRPr="00094E0D">
              <w:rPr>
                <w:rFonts w:ascii="Times New Roman" w:hAnsi="Times New Roman" w:cs="Times New Roman"/>
                <w:color w:val="FF0000"/>
                <w:sz w:val="24"/>
                <w:szCs w:val="24"/>
                <w:shd w:val="clear" w:color="auto" w:fill="FFFFFF"/>
              </w:rPr>
              <w:t>апреля 2016</w:t>
            </w:r>
            <w:r w:rsidR="00A46CC4">
              <w:rPr>
                <w:rFonts w:ascii="Times New Roman" w:hAnsi="Times New Roman" w:cs="Times New Roman"/>
                <w:color w:val="FF0000"/>
                <w:sz w:val="24"/>
                <w:szCs w:val="24"/>
                <w:shd w:val="clear" w:color="auto" w:fill="FFFFFF"/>
              </w:rPr>
              <w:t xml:space="preserve"> с изменениями от 25 мая</w:t>
            </w:r>
            <w:r w:rsidR="00A81ED2">
              <w:rPr>
                <w:rFonts w:ascii="Times New Roman" w:hAnsi="Times New Roman" w:cs="Times New Roman"/>
                <w:color w:val="FF0000"/>
                <w:sz w:val="24"/>
                <w:szCs w:val="24"/>
                <w:shd w:val="clear" w:color="auto" w:fill="FFFFFF"/>
              </w:rPr>
              <w:t xml:space="preserve"> </w:t>
            </w:r>
            <w:r w:rsidR="00A46CC4">
              <w:rPr>
                <w:rFonts w:ascii="Times New Roman" w:hAnsi="Times New Roman" w:cs="Times New Roman"/>
                <w:color w:val="FF0000"/>
                <w:sz w:val="24"/>
                <w:szCs w:val="24"/>
                <w:shd w:val="clear" w:color="auto" w:fill="FFFFFF"/>
              </w:rPr>
              <w:t>2016</w:t>
            </w:r>
            <w:r w:rsidRPr="00094E0D">
              <w:rPr>
                <w:rFonts w:ascii="Times New Roman" w:hAnsi="Times New Roman" w:cs="Times New Roman"/>
                <w:color w:val="FF0000"/>
                <w:sz w:val="24"/>
                <w:szCs w:val="24"/>
                <w:shd w:val="clear" w:color="auto" w:fill="FFFFFF"/>
              </w:rPr>
              <w:t xml:space="preserve"> </w:t>
            </w:r>
            <w:r w:rsidRPr="00094E0D">
              <w:rPr>
                <w:rFonts w:ascii="Times New Roman" w:hAnsi="Times New Roman" w:cs="Times New Roman"/>
                <w:sz w:val="24"/>
                <w:szCs w:val="24"/>
                <w:shd w:val="clear" w:color="auto" w:fill="FFFFFF"/>
              </w:rPr>
              <w:t xml:space="preserve">г </w:t>
            </w:r>
          </w:p>
          <w:p w:rsidR="00597782" w:rsidRPr="00094E0D" w:rsidRDefault="00597782" w:rsidP="004F7F09">
            <w:pPr>
              <w:pStyle w:val="a8"/>
              <w:rPr>
                <w:rFonts w:ascii="Times New Roman" w:hAnsi="Times New Roman" w:cs="Times New Roman"/>
                <w:sz w:val="24"/>
                <w:szCs w:val="24"/>
                <w:shd w:val="clear" w:color="auto" w:fill="FFFFFF"/>
              </w:rPr>
            </w:pPr>
            <w:r w:rsidRPr="00094E0D">
              <w:rPr>
                <w:rFonts w:ascii="Times New Roman" w:hAnsi="Times New Roman" w:cs="Times New Roman"/>
                <w:sz w:val="24"/>
                <w:szCs w:val="24"/>
                <w:shd w:val="clear" w:color="auto" w:fill="FFFFFF"/>
              </w:rPr>
              <w:t>заверенная подписью лица, уполномоченного на заключение Договора и печатью организации (оригинал)</w:t>
            </w:r>
          </w:p>
          <w:p w:rsidR="00A46CC4" w:rsidRPr="008A3B06" w:rsidRDefault="00A46CC4" w:rsidP="00A46CC4">
            <w:pPr>
              <w:autoSpaceDE w:val="0"/>
              <w:autoSpaceDN w:val="0"/>
              <w:adjustRightInd w:val="0"/>
              <w:ind w:left="567"/>
              <w:jc w:val="both"/>
              <w:rPr>
                <w:i/>
                <w:sz w:val="28"/>
                <w:szCs w:val="28"/>
              </w:rPr>
            </w:pPr>
            <w:r w:rsidRPr="008A3B06">
              <w:rPr>
                <w:i/>
                <w:sz w:val="28"/>
                <w:szCs w:val="28"/>
              </w:rPr>
              <w:t xml:space="preserve">Представление документов, предусмотренных пунктом 3.1. конкурсной документации в составе заявки не требуется, если данные документы были представлены ранее при участии претендента в других аналогичных конкурсах в данном </w:t>
            </w:r>
            <w:r w:rsidRPr="008A3B06">
              <w:rPr>
                <w:i/>
                <w:sz w:val="28"/>
                <w:szCs w:val="28"/>
              </w:rPr>
              <w:lastRenderedPageBreak/>
              <w:t xml:space="preserve">муниципальном образовании (при условии, что организатором </w:t>
            </w:r>
            <w:r>
              <w:rPr>
                <w:i/>
                <w:sz w:val="28"/>
                <w:szCs w:val="28"/>
              </w:rPr>
              <w:t>выступает Региональный оператор</w:t>
            </w:r>
            <w:r w:rsidRPr="008A3B06">
              <w:rPr>
                <w:i/>
                <w:sz w:val="28"/>
                <w:szCs w:val="28"/>
              </w:rPr>
              <w:t>) и срок их действия не истек, а содержащаяся в них информация не утратила свой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w:t>
            </w:r>
          </w:p>
          <w:p w:rsidR="00597782" w:rsidRPr="00094E0D" w:rsidRDefault="00597782" w:rsidP="004F7F09">
            <w:pPr>
              <w:autoSpaceDE w:val="0"/>
              <w:autoSpaceDN w:val="0"/>
              <w:adjustRightInd w:val="0"/>
              <w:ind w:left="567"/>
              <w:jc w:val="both"/>
              <w:rPr>
                <w:i/>
              </w:rPr>
            </w:pPr>
          </w:p>
          <w:p w:rsidR="00597782" w:rsidRPr="00094E0D" w:rsidRDefault="00597782" w:rsidP="004F7F09">
            <w:pPr>
              <w:pStyle w:val="a8"/>
              <w:ind w:left="1623"/>
              <w:rPr>
                <w:rFonts w:ascii="Times New Roman" w:hAnsi="Times New Roman" w:cs="Times New Roman"/>
                <w:i/>
                <w:sz w:val="24"/>
                <w:szCs w:val="24"/>
                <w:shd w:val="clear" w:color="auto" w:fill="FFFFFF"/>
              </w:rPr>
            </w:pPr>
          </w:p>
          <w:p w:rsidR="00597782" w:rsidRPr="00094E0D" w:rsidRDefault="00597782" w:rsidP="004F7F09">
            <w:pPr>
              <w:autoSpaceDE w:val="0"/>
              <w:autoSpaceDN w:val="0"/>
              <w:adjustRightInd w:val="0"/>
              <w:jc w:val="both"/>
            </w:pPr>
            <w:r w:rsidRPr="00094E0D">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597782" w:rsidRPr="00094E0D" w:rsidRDefault="00597782" w:rsidP="004F7F09">
            <w:pPr>
              <w:autoSpaceDE w:val="0"/>
              <w:autoSpaceDN w:val="0"/>
              <w:adjustRightInd w:val="0"/>
              <w:jc w:val="both"/>
            </w:pPr>
            <w:r w:rsidRPr="00094E0D">
              <w:t>Конкурсная заявка должна быть представлена организатору конкурса в двойном конверте. На внешнем конверте указывается предмет конкурса</w:t>
            </w:r>
            <w:r w:rsidRPr="00094E0D">
              <w:rPr>
                <w:color w:val="000000"/>
              </w:rPr>
              <w:t xml:space="preserve">. </w:t>
            </w:r>
            <w:r w:rsidRPr="00094E0D">
              <w:t xml:space="preserve">Во внешний конверт вкладываются два внутренних конверта - один с оригиналом конкурсной заявки, а второй с ее копией. </w:t>
            </w:r>
            <w:r w:rsidRPr="00094E0D">
              <w:rPr>
                <w:color w:val="000000"/>
              </w:rPr>
              <w:t>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597782" w:rsidRPr="00094E0D" w:rsidRDefault="00597782" w:rsidP="004F7F09">
            <w:pPr>
              <w:autoSpaceDE w:val="0"/>
              <w:autoSpaceDN w:val="0"/>
              <w:adjustRightInd w:val="0"/>
              <w:jc w:val="both"/>
            </w:pPr>
            <w:r w:rsidRPr="00094E0D">
              <w:t xml:space="preserve">Конкурсная заявка доставляется участником с помощью почты, курьером или лично, по адресу, указанному в пункте 1.5.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ее приема уполномоченным лицом. Зарегистрированной конкурсной заявке присваивается порядковый номер, соответствующий номеру очередности ее доставки участником. </w:t>
            </w:r>
          </w:p>
          <w:p w:rsidR="00597782" w:rsidRPr="00094E0D" w:rsidRDefault="00597782" w:rsidP="004F7F09">
            <w:pPr>
              <w:autoSpaceDE w:val="0"/>
              <w:autoSpaceDN w:val="0"/>
              <w:adjustRightInd w:val="0"/>
              <w:jc w:val="both"/>
            </w:pPr>
            <w:r w:rsidRPr="00094E0D">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97782" w:rsidRPr="00094E0D" w:rsidRDefault="00597782" w:rsidP="004F7F09">
            <w:pPr>
              <w:autoSpaceDE w:val="0"/>
              <w:autoSpaceDN w:val="0"/>
              <w:adjustRightInd w:val="0"/>
              <w:jc w:val="both"/>
            </w:pPr>
            <w:r w:rsidRPr="00094E0D">
              <w:t xml:space="preserve">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w:t>
            </w:r>
            <w:r w:rsidRPr="00094E0D">
              <w:lastRenderedPageBreak/>
              <w:t>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97782" w:rsidRPr="00094E0D" w:rsidRDefault="00597782" w:rsidP="004F7F09">
            <w:pPr>
              <w:autoSpaceDE w:val="0"/>
              <w:autoSpaceDN w:val="0"/>
              <w:adjustRightInd w:val="0"/>
              <w:ind w:left="567"/>
              <w:jc w:val="both"/>
            </w:pPr>
          </w:p>
          <w:p w:rsidR="00597782" w:rsidRPr="00094E0D" w:rsidRDefault="00597782" w:rsidP="004F7F09"/>
        </w:tc>
      </w:tr>
      <w:tr w:rsidR="00597782" w:rsidRPr="00094E0D" w:rsidTr="00597782">
        <w:trPr>
          <w:trHeight w:val="20"/>
        </w:trPr>
        <w:tc>
          <w:tcPr>
            <w:tcW w:w="1101" w:type="dxa"/>
          </w:tcPr>
          <w:p w:rsidR="00597782" w:rsidRPr="00094E0D" w:rsidRDefault="00597782" w:rsidP="00597782">
            <w:pPr>
              <w:numPr>
                <w:ilvl w:val="0"/>
                <w:numId w:val="5"/>
              </w:numPr>
            </w:pPr>
            <w:bookmarkStart w:id="109" w:name="_Toc375898309"/>
            <w:bookmarkStart w:id="110" w:name="_Toc375898893"/>
            <w:bookmarkStart w:id="111" w:name="_Toc375898310"/>
            <w:bookmarkStart w:id="112" w:name="_Toc375898894"/>
            <w:bookmarkStart w:id="113" w:name="_Toc376103913"/>
            <w:bookmarkStart w:id="114" w:name="_Toc376104010"/>
            <w:bookmarkStart w:id="115" w:name="_Toc376104168"/>
            <w:bookmarkStart w:id="116" w:name="_Toc376104442"/>
            <w:bookmarkEnd w:id="109"/>
            <w:bookmarkEnd w:id="110"/>
            <w:bookmarkEnd w:id="111"/>
            <w:bookmarkEnd w:id="112"/>
            <w:bookmarkEnd w:id="113"/>
            <w:bookmarkEnd w:id="114"/>
            <w:bookmarkEnd w:id="115"/>
            <w:bookmarkEnd w:id="116"/>
          </w:p>
        </w:tc>
        <w:tc>
          <w:tcPr>
            <w:tcW w:w="2409" w:type="dxa"/>
          </w:tcPr>
          <w:p w:rsidR="00597782" w:rsidRPr="00094E0D" w:rsidRDefault="00597782" w:rsidP="004F7F09">
            <w:r w:rsidRPr="00094E0D">
              <w:t xml:space="preserve">Обеспечение заявок на участие в открытом конкурсе </w:t>
            </w:r>
          </w:p>
        </w:tc>
        <w:tc>
          <w:tcPr>
            <w:tcW w:w="7230" w:type="dxa"/>
          </w:tcPr>
          <w:p w:rsidR="00597782" w:rsidRPr="00094E0D" w:rsidRDefault="00597782" w:rsidP="004F7F09">
            <w:r w:rsidRPr="00094E0D">
              <w:t>Не требуется</w:t>
            </w:r>
          </w:p>
        </w:tc>
      </w:tr>
      <w:tr w:rsidR="00597782" w:rsidRPr="00094E0D" w:rsidTr="00597782">
        <w:trPr>
          <w:trHeight w:val="20"/>
        </w:trPr>
        <w:tc>
          <w:tcPr>
            <w:tcW w:w="1101" w:type="dxa"/>
          </w:tcPr>
          <w:p w:rsidR="00597782" w:rsidRPr="00094E0D" w:rsidRDefault="00597782" w:rsidP="00597782">
            <w:pPr>
              <w:numPr>
                <w:ilvl w:val="0"/>
                <w:numId w:val="5"/>
              </w:numPr>
            </w:pPr>
            <w:bookmarkStart w:id="117" w:name="_Toc375898311"/>
            <w:bookmarkStart w:id="118" w:name="_Toc375898895"/>
            <w:bookmarkStart w:id="119" w:name="_Toc376103914"/>
            <w:bookmarkStart w:id="120" w:name="_Toc376104011"/>
            <w:bookmarkStart w:id="121" w:name="_Toc376104169"/>
            <w:bookmarkStart w:id="122" w:name="_Toc376104443"/>
            <w:bookmarkEnd w:id="117"/>
            <w:bookmarkEnd w:id="118"/>
            <w:bookmarkEnd w:id="119"/>
            <w:bookmarkEnd w:id="120"/>
            <w:bookmarkEnd w:id="121"/>
            <w:bookmarkEnd w:id="122"/>
          </w:p>
        </w:tc>
        <w:tc>
          <w:tcPr>
            <w:tcW w:w="2409" w:type="dxa"/>
          </w:tcPr>
          <w:p w:rsidR="00597782" w:rsidRPr="00094E0D" w:rsidRDefault="00597782" w:rsidP="009D395B">
            <w:r w:rsidRPr="00094E0D">
              <w:t xml:space="preserve">Размер обеспечения заявок на участие в </w:t>
            </w:r>
            <w:r w:rsidR="009D395B" w:rsidRPr="00094E0D">
              <w:t>открытом конкурсе</w:t>
            </w:r>
          </w:p>
        </w:tc>
        <w:tc>
          <w:tcPr>
            <w:tcW w:w="7230" w:type="dxa"/>
          </w:tcPr>
          <w:p w:rsidR="00597782" w:rsidRPr="00094E0D" w:rsidRDefault="00597782" w:rsidP="004F7F09">
            <w:r w:rsidRPr="00094E0D">
              <w:t>Не требуется</w:t>
            </w:r>
          </w:p>
        </w:tc>
      </w:tr>
      <w:tr w:rsidR="00597782" w:rsidRPr="00094E0D" w:rsidTr="00597782">
        <w:trPr>
          <w:trHeight w:val="20"/>
        </w:trPr>
        <w:tc>
          <w:tcPr>
            <w:tcW w:w="1101" w:type="dxa"/>
          </w:tcPr>
          <w:p w:rsidR="00597782" w:rsidRPr="00094E0D" w:rsidRDefault="00597782" w:rsidP="00597782">
            <w:pPr>
              <w:numPr>
                <w:ilvl w:val="0"/>
                <w:numId w:val="5"/>
              </w:numPr>
            </w:pPr>
            <w:bookmarkStart w:id="123" w:name="_Toc375898312"/>
            <w:bookmarkStart w:id="124" w:name="_Toc375898896"/>
            <w:bookmarkStart w:id="125" w:name="_Toc375898313"/>
            <w:bookmarkStart w:id="126" w:name="_Toc375898897"/>
            <w:bookmarkStart w:id="127" w:name="_Toc375898314"/>
            <w:bookmarkStart w:id="128" w:name="_Toc375898898"/>
            <w:bookmarkStart w:id="129" w:name="_Toc375898316"/>
            <w:bookmarkStart w:id="130" w:name="_Toc375898900"/>
            <w:bookmarkStart w:id="131" w:name="_Toc376103915"/>
            <w:bookmarkStart w:id="132" w:name="_Toc376104012"/>
            <w:bookmarkStart w:id="133" w:name="_Toc376104170"/>
            <w:bookmarkStart w:id="134" w:name="_Toc376104444"/>
            <w:bookmarkEnd w:id="123"/>
            <w:bookmarkEnd w:id="124"/>
            <w:bookmarkEnd w:id="125"/>
            <w:bookmarkEnd w:id="126"/>
            <w:bookmarkEnd w:id="127"/>
            <w:bookmarkEnd w:id="128"/>
            <w:bookmarkEnd w:id="129"/>
            <w:bookmarkEnd w:id="130"/>
            <w:bookmarkEnd w:id="131"/>
            <w:bookmarkEnd w:id="132"/>
            <w:bookmarkEnd w:id="133"/>
            <w:bookmarkEnd w:id="134"/>
          </w:p>
        </w:tc>
        <w:tc>
          <w:tcPr>
            <w:tcW w:w="2409" w:type="dxa"/>
          </w:tcPr>
          <w:p w:rsidR="00597782" w:rsidRPr="00094E0D" w:rsidRDefault="00597782" w:rsidP="004F7F09">
            <w:r w:rsidRPr="00094E0D">
              <w:t>Размер, условия обеспечения исполнения контракта. Порядок предоставления и требования к такому обеспечению.</w:t>
            </w:r>
          </w:p>
          <w:p w:rsidR="00597782" w:rsidRPr="00094E0D" w:rsidRDefault="00597782" w:rsidP="004F7F09"/>
        </w:tc>
        <w:tc>
          <w:tcPr>
            <w:tcW w:w="7230" w:type="dxa"/>
          </w:tcPr>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 xml:space="preserve"> Сумма обеспечения исполнения </w:t>
            </w:r>
            <w:r w:rsidR="00094E0D">
              <w:rPr>
                <w:rFonts w:ascii="Times New Roman" w:hAnsi="Times New Roman" w:cs="Times New Roman"/>
                <w:sz w:val="24"/>
                <w:szCs w:val="24"/>
              </w:rPr>
              <w:t>договора</w:t>
            </w:r>
            <w:r w:rsidRPr="00094E0D">
              <w:rPr>
                <w:rFonts w:ascii="Times New Roman" w:hAnsi="Times New Roman" w:cs="Times New Roman"/>
                <w:sz w:val="24"/>
                <w:szCs w:val="24"/>
              </w:rPr>
              <w:t xml:space="preserve"> предусмотрена</w:t>
            </w:r>
            <w:r w:rsidR="00094E0D">
              <w:rPr>
                <w:rFonts w:ascii="Times New Roman" w:hAnsi="Times New Roman" w:cs="Times New Roman"/>
                <w:sz w:val="24"/>
                <w:szCs w:val="24"/>
              </w:rPr>
              <w:t>,</w:t>
            </w:r>
            <w:r w:rsidRPr="00094E0D">
              <w:rPr>
                <w:rFonts w:ascii="Times New Roman" w:hAnsi="Times New Roman" w:cs="Times New Roman"/>
                <w:sz w:val="24"/>
                <w:szCs w:val="24"/>
              </w:rPr>
              <w:t xml:space="preserve"> если при проведении Конкурса  начальная (максимальная) цена Договора,  участником Конкурса, с которым заключается Договор, </w:t>
            </w:r>
            <w:r w:rsidR="00094E0D" w:rsidRPr="00094E0D">
              <w:rPr>
                <w:rFonts w:ascii="Times New Roman" w:hAnsi="Times New Roman" w:cs="Times New Roman"/>
                <w:sz w:val="24"/>
                <w:szCs w:val="24"/>
              </w:rPr>
              <w:t>предложена цена</w:t>
            </w:r>
            <w:r w:rsidRPr="00094E0D">
              <w:rPr>
                <w:rFonts w:ascii="Times New Roman" w:hAnsi="Times New Roman" w:cs="Times New Roman"/>
                <w:sz w:val="24"/>
                <w:szCs w:val="24"/>
              </w:rPr>
              <w:t>, которая на двадцать пять и более процентов ниже начальной (максимальной) цены Договора,  то таким участником наряду с подписанным проектом Договора, сметой и календарным графиком должно быть представлено обеспечение исполнения Договора в размере, превышающем в полтора раза размер суммы аванса по Договору, указанный в документации о Конкурсе, в соответствии с требованиями п.5 Конкурсной документации .</w:t>
            </w: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pStyle w:val="a8"/>
              <w:rPr>
                <w:rFonts w:ascii="Times New Roman" w:eastAsia="Times New Roman" w:hAnsi="Times New Roman" w:cs="Times New Roman"/>
                <w:sz w:val="24"/>
                <w:szCs w:val="24"/>
              </w:rPr>
            </w:pPr>
            <w:r w:rsidRPr="00094E0D">
              <w:rPr>
                <w:rFonts w:ascii="Times New Roman" w:eastAsia="Times New Roman" w:hAnsi="Times New Roman" w:cs="Times New Roman"/>
                <w:sz w:val="24"/>
                <w:szCs w:val="24"/>
              </w:rPr>
              <w:t>Порядок предоставления обеспечения исполнения Договора</w:t>
            </w:r>
          </w:p>
          <w:p w:rsidR="00597782" w:rsidRPr="00094E0D" w:rsidRDefault="00597782" w:rsidP="004F7F09">
            <w:pPr>
              <w:autoSpaceDE w:val="0"/>
              <w:autoSpaceDN w:val="0"/>
              <w:adjustRightInd w:val="0"/>
              <w:rPr>
                <w:color w:val="000000"/>
              </w:rPr>
            </w:pP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Исполнение Договора обеспечивается внесением денежных средств на р/с Заказчика.</w:t>
            </w: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Банковские реквизиты для перечисления денежных средств в качестве обеспечения исполнения контракта:</w:t>
            </w: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 xml:space="preserve">Некоммерческая организация «Адыгейский республиканский фонд капитального ремонта общего </w:t>
            </w:r>
            <w:proofErr w:type="gramStart"/>
            <w:r w:rsidRPr="00094E0D">
              <w:rPr>
                <w:rFonts w:ascii="Times New Roman" w:hAnsi="Times New Roman" w:cs="Times New Roman"/>
                <w:sz w:val="24"/>
                <w:szCs w:val="24"/>
              </w:rPr>
              <w:t>имущества  в</w:t>
            </w:r>
            <w:proofErr w:type="gramEnd"/>
            <w:r w:rsidRPr="00094E0D">
              <w:rPr>
                <w:rFonts w:ascii="Times New Roman" w:hAnsi="Times New Roman" w:cs="Times New Roman"/>
                <w:sz w:val="24"/>
                <w:szCs w:val="24"/>
              </w:rPr>
              <w:t xml:space="preserve"> многоквартирных домах»</w:t>
            </w: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ИНН 0105981008</w:t>
            </w: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КПП 010501001</w:t>
            </w: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р\с     40703810012000000042, АДЫГЕЙСКИЙ РФ ОАО "РОССЕЛЬХОЗБАНК</w:t>
            </w:r>
            <w:proofErr w:type="gramStart"/>
            <w:r w:rsidRPr="00094E0D">
              <w:rPr>
                <w:rFonts w:ascii="Times New Roman" w:hAnsi="Times New Roman" w:cs="Times New Roman"/>
                <w:sz w:val="24"/>
                <w:szCs w:val="24"/>
              </w:rPr>
              <w:t>" ,</w:t>
            </w:r>
            <w:proofErr w:type="gramEnd"/>
            <w:r w:rsidRPr="00094E0D">
              <w:rPr>
                <w:rFonts w:ascii="Times New Roman" w:hAnsi="Times New Roman" w:cs="Times New Roman"/>
                <w:sz w:val="24"/>
                <w:szCs w:val="24"/>
              </w:rPr>
              <w:t xml:space="preserve"> БИК 047908745 </w:t>
            </w:r>
          </w:p>
          <w:p w:rsidR="00597782" w:rsidRPr="00094E0D" w:rsidRDefault="00597782" w:rsidP="004F7F09">
            <w:pPr>
              <w:pStyle w:val="a8"/>
              <w:rPr>
                <w:rFonts w:ascii="Times New Roman" w:hAnsi="Times New Roman" w:cs="Times New Roman"/>
                <w:sz w:val="24"/>
                <w:szCs w:val="24"/>
              </w:rPr>
            </w:pPr>
            <w:proofErr w:type="spellStart"/>
            <w:r w:rsidRPr="00094E0D">
              <w:rPr>
                <w:rFonts w:ascii="Times New Roman" w:hAnsi="Times New Roman" w:cs="Times New Roman"/>
                <w:sz w:val="24"/>
                <w:szCs w:val="24"/>
              </w:rPr>
              <w:t>кор</w:t>
            </w:r>
            <w:proofErr w:type="spellEnd"/>
            <w:r w:rsidRPr="00094E0D">
              <w:rPr>
                <w:rFonts w:ascii="Times New Roman" w:hAnsi="Times New Roman" w:cs="Times New Roman"/>
                <w:sz w:val="24"/>
                <w:szCs w:val="24"/>
              </w:rPr>
              <w:t>\с 30101810200000000745</w:t>
            </w: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 xml:space="preserve">Назначение платежа: Обеспечение исполнения обязательств по к Договору на </w:t>
            </w:r>
          </w:p>
          <w:p w:rsidR="00597782" w:rsidRPr="00094E0D" w:rsidRDefault="00597782" w:rsidP="004F7F09">
            <w:pPr>
              <w:pStyle w:val="a8"/>
              <w:rPr>
                <w:rFonts w:ascii="Times New Roman" w:hAnsi="Times New Roman" w:cs="Times New Roman"/>
                <w:sz w:val="24"/>
                <w:szCs w:val="24"/>
              </w:rPr>
            </w:pPr>
            <w:proofErr w:type="gramStart"/>
            <w:r w:rsidRPr="00094E0D">
              <w:rPr>
                <w:rFonts w:ascii="Times New Roman" w:hAnsi="Times New Roman" w:cs="Times New Roman"/>
                <w:sz w:val="24"/>
                <w:szCs w:val="24"/>
              </w:rPr>
              <w:t>( предмет</w:t>
            </w:r>
            <w:proofErr w:type="gramEnd"/>
            <w:r w:rsidRPr="00094E0D">
              <w:rPr>
                <w:rFonts w:ascii="Times New Roman" w:hAnsi="Times New Roman" w:cs="Times New Roman"/>
                <w:sz w:val="24"/>
                <w:szCs w:val="24"/>
              </w:rPr>
              <w:t xml:space="preserve"> договора и адрес объекта)  Протокол от «___»_______ 2016 г. № __</w:t>
            </w: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t>В случае не предоставления участником Конкурса, с которым заключается контракт, обеспечения исполнения Договора в срок, установленный для заключения Договора, участник считается уклонившимся от заключения контракта.</w:t>
            </w:r>
          </w:p>
          <w:p w:rsidR="00597782" w:rsidRPr="00094E0D" w:rsidRDefault="00597782" w:rsidP="004F7F09">
            <w:pPr>
              <w:pStyle w:val="a8"/>
              <w:rPr>
                <w:rFonts w:ascii="Times New Roman" w:hAnsi="Times New Roman" w:cs="Times New Roman"/>
                <w:sz w:val="24"/>
                <w:szCs w:val="24"/>
              </w:rPr>
            </w:pPr>
            <w:r w:rsidRPr="00094E0D">
              <w:rPr>
                <w:rFonts w:ascii="Times New Roman" w:hAnsi="Times New Roman" w:cs="Times New Roman"/>
                <w:sz w:val="24"/>
                <w:szCs w:val="24"/>
              </w:rPr>
              <w:lastRenderedPageBreak/>
              <w:t>Обеспечение исполнения контракта возвращается Исполнителю после даты завершения выполнения Исполнителем своих обязательств по контракту, и не позднее чем через 60 (</w:t>
            </w:r>
            <w:proofErr w:type="gramStart"/>
            <w:r w:rsidRPr="00094E0D">
              <w:rPr>
                <w:rFonts w:ascii="Times New Roman" w:hAnsi="Times New Roman" w:cs="Times New Roman"/>
                <w:sz w:val="24"/>
                <w:szCs w:val="24"/>
              </w:rPr>
              <w:t>шестьдесят )</w:t>
            </w:r>
            <w:proofErr w:type="gramEnd"/>
            <w:r w:rsidRPr="00094E0D">
              <w:rPr>
                <w:rFonts w:ascii="Times New Roman" w:hAnsi="Times New Roman" w:cs="Times New Roman"/>
                <w:sz w:val="24"/>
                <w:szCs w:val="24"/>
              </w:rPr>
              <w:t xml:space="preserve"> календарных дней с даты получения Заказчиком соответствующего письменного требования Исполнителя с указанием банковского счета. </w:t>
            </w:r>
          </w:p>
          <w:p w:rsidR="00597782" w:rsidRPr="00094E0D" w:rsidRDefault="00597782" w:rsidP="004F7F09">
            <w:pPr>
              <w:pStyle w:val="a8"/>
              <w:rPr>
                <w:rFonts w:ascii="Times New Roman" w:eastAsia="Times New Roman" w:hAnsi="Times New Roman" w:cs="Times New Roman"/>
                <w:sz w:val="24"/>
                <w:szCs w:val="24"/>
              </w:rPr>
            </w:pPr>
          </w:p>
          <w:p w:rsidR="00597782" w:rsidRPr="00094E0D" w:rsidRDefault="00597782" w:rsidP="004F7F09">
            <w:pPr>
              <w:pStyle w:val="a8"/>
              <w:rPr>
                <w:rFonts w:ascii="Times New Roman" w:hAnsi="Times New Roman" w:cs="Times New Roman"/>
                <w:sz w:val="24"/>
                <w:szCs w:val="24"/>
              </w:rPr>
            </w:pPr>
          </w:p>
          <w:p w:rsidR="00597782" w:rsidRPr="00094E0D" w:rsidRDefault="00597782" w:rsidP="004F7F09">
            <w:pPr>
              <w:jc w:val="both"/>
            </w:pPr>
          </w:p>
        </w:tc>
      </w:tr>
      <w:tr w:rsidR="00597782" w:rsidRPr="00094E0D" w:rsidTr="00597782">
        <w:trPr>
          <w:trHeight w:val="20"/>
        </w:trPr>
        <w:tc>
          <w:tcPr>
            <w:tcW w:w="1101" w:type="dxa"/>
          </w:tcPr>
          <w:p w:rsidR="00597782" w:rsidRPr="00094E0D" w:rsidRDefault="00597782" w:rsidP="00597782">
            <w:pPr>
              <w:numPr>
                <w:ilvl w:val="0"/>
                <w:numId w:val="5"/>
              </w:numPr>
            </w:pPr>
            <w:bookmarkStart w:id="135" w:name="_Toc375898317"/>
            <w:bookmarkStart w:id="136" w:name="_Toc375898901"/>
            <w:bookmarkStart w:id="137" w:name="_Toc376103916"/>
            <w:bookmarkStart w:id="138" w:name="_Toc376104013"/>
            <w:bookmarkStart w:id="139" w:name="_Toc376104171"/>
            <w:bookmarkStart w:id="140" w:name="_Toc376104445"/>
            <w:bookmarkStart w:id="141" w:name="_Toc375898322"/>
            <w:bookmarkStart w:id="142" w:name="_Toc375898906"/>
            <w:bookmarkStart w:id="143" w:name="_Toc376103921"/>
            <w:bookmarkStart w:id="144" w:name="_Toc376104018"/>
            <w:bookmarkStart w:id="145" w:name="_Toc376104176"/>
            <w:bookmarkStart w:id="146" w:name="_Toc376104450"/>
            <w:bookmarkEnd w:id="135"/>
            <w:bookmarkEnd w:id="136"/>
            <w:bookmarkEnd w:id="137"/>
            <w:bookmarkEnd w:id="138"/>
            <w:bookmarkEnd w:id="139"/>
            <w:bookmarkEnd w:id="140"/>
            <w:bookmarkEnd w:id="141"/>
            <w:bookmarkEnd w:id="142"/>
            <w:bookmarkEnd w:id="143"/>
            <w:bookmarkEnd w:id="144"/>
            <w:bookmarkEnd w:id="145"/>
            <w:bookmarkEnd w:id="146"/>
          </w:p>
        </w:tc>
        <w:tc>
          <w:tcPr>
            <w:tcW w:w="2409" w:type="dxa"/>
          </w:tcPr>
          <w:p w:rsidR="00597782" w:rsidRPr="00094E0D" w:rsidRDefault="00597782" w:rsidP="004F7F09">
            <w:r w:rsidRPr="00094E0D">
              <w:t xml:space="preserve">Срок </w:t>
            </w:r>
            <w:proofErr w:type="gramStart"/>
            <w:r w:rsidRPr="00094E0D">
              <w:t>подписания  Договора</w:t>
            </w:r>
            <w:proofErr w:type="gramEnd"/>
            <w:r w:rsidRPr="00094E0D">
              <w:t xml:space="preserve"> победителем открытого конкурса или иным его участником, с которым заключается контракт. </w:t>
            </w:r>
          </w:p>
          <w:p w:rsidR="00597782" w:rsidRPr="00094E0D" w:rsidRDefault="00597782" w:rsidP="004F7F09">
            <w:r w:rsidRPr="00094E0D">
              <w:t>Условия признания победителя открытого конкурса или данного участника уклонившимися от заключения контракта.</w:t>
            </w:r>
          </w:p>
        </w:tc>
        <w:tc>
          <w:tcPr>
            <w:tcW w:w="7230" w:type="dxa"/>
          </w:tcPr>
          <w:p w:rsidR="00597782" w:rsidRPr="00094E0D" w:rsidRDefault="00597782" w:rsidP="004F7F09">
            <w:pPr>
              <w:jc w:val="both"/>
            </w:pPr>
            <w:r w:rsidRPr="00094E0D">
              <w:t xml:space="preserve">Контракт заключается </w:t>
            </w:r>
            <w:proofErr w:type="gramStart"/>
            <w:r w:rsidRPr="00094E0D">
              <w:t xml:space="preserve">не </w:t>
            </w:r>
            <w:r w:rsidR="000D058F">
              <w:t xml:space="preserve"> позднее</w:t>
            </w:r>
            <w:proofErr w:type="gramEnd"/>
            <w:r w:rsidR="000D058F">
              <w:t>,</w:t>
            </w:r>
            <w:r w:rsidRPr="00094E0D">
              <w:t xml:space="preserve"> чем через десять дней с даты размещения в единой информационной системе Заказчика протокола подведения итогов открытого конкурса.</w:t>
            </w:r>
          </w:p>
          <w:p w:rsidR="00597782" w:rsidRPr="00094E0D" w:rsidRDefault="00597782" w:rsidP="004F7F09">
            <w:pPr>
              <w:jc w:val="both"/>
            </w:pPr>
          </w:p>
        </w:tc>
      </w:tr>
      <w:tr w:rsidR="00597782" w:rsidRPr="00B85427" w:rsidTr="00597782">
        <w:trPr>
          <w:trHeight w:val="20"/>
        </w:trPr>
        <w:tc>
          <w:tcPr>
            <w:tcW w:w="1101" w:type="dxa"/>
          </w:tcPr>
          <w:p w:rsidR="00597782" w:rsidRPr="00094E0D" w:rsidRDefault="00597782" w:rsidP="00597782">
            <w:pPr>
              <w:numPr>
                <w:ilvl w:val="0"/>
                <w:numId w:val="5"/>
              </w:numPr>
            </w:pPr>
            <w:bookmarkStart w:id="147" w:name="_Toc375898323"/>
            <w:bookmarkStart w:id="148" w:name="_Toc375898907"/>
            <w:bookmarkStart w:id="149" w:name="_Toc376103922"/>
            <w:bookmarkStart w:id="150" w:name="_Toc376104019"/>
            <w:bookmarkStart w:id="151" w:name="_Toc376104177"/>
            <w:bookmarkStart w:id="152" w:name="_Toc376104451"/>
            <w:bookmarkEnd w:id="147"/>
            <w:bookmarkEnd w:id="148"/>
            <w:bookmarkEnd w:id="149"/>
            <w:bookmarkEnd w:id="150"/>
            <w:bookmarkEnd w:id="151"/>
            <w:bookmarkEnd w:id="152"/>
          </w:p>
        </w:tc>
        <w:tc>
          <w:tcPr>
            <w:tcW w:w="2409" w:type="dxa"/>
          </w:tcPr>
          <w:p w:rsidR="00597782" w:rsidRPr="00B85427" w:rsidRDefault="00597782" w:rsidP="004F7F09">
            <w:r w:rsidRPr="00094E0D">
              <w:t>Возможность одностороннего отказа от исполнения контракта</w:t>
            </w:r>
          </w:p>
        </w:tc>
        <w:tc>
          <w:tcPr>
            <w:tcW w:w="7230" w:type="dxa"/>
          </w:tcPr>
          <w:p w:rsidR="00597782" w:rsidRPr="00B85427" w:rsidRDefault="00597782" w:rsidP="004F7F09">
            <w:r w:rsidRPr="00B85427">
              <w:t xml:space="preserve"> </w:t>
            </w:r>
          </w:p>
        </w:tc>
      </w:tr>
      <w:bookmarkEnd w:id="13"/>
    </w:tbl>
    <w:p w:rsidR="009C1ED7" w:rsidRPr="00597782" w:rsidRDefault="009C1ED7" w:rsidP="00597782"/>
    <w:sectPr w:rsidR="009C1ED7" w:rsidRPr="005977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88645D"/>
    <w:multiLevelType w:val="hybridMultilevel"/>
    <w:tmpl w:val="20720B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3DEF3456"/>
    <w:multiLevelType w:val="multilevel"/>
    <w:tmpl w:val="F10AC444"/>
    <w:lvl w:ilvl="0">
      <w:start w:val="1"/>
      <w:numFmt w:val="decimal"/>
      <w:lvlText w:val="%1"/>
      <w:lvlJc w:val="left"/>
      <w:pPr>
        <w:ind w:left="1215" w:hanging="360"/>
      </w:pPr>
      <w:rPr>
        <w:rFonts w:ascii="Times New Roman" w:eastAsia="Times New Roman" w:hAnsi="Times New Roman" w:cs="Times New Roman"/>
      </w:rPr>
    </w:lvl>
    <w:lvl w:ilvl="1">
      <w:start w:val="1"/>
      <w:numFmt w:val="decimal"/>
      <w:isLgl/>
      <w:lvlText w:val="%1.%2"/>
      <w:lvlJc w:val="left"/>
      <w:pPr>
        <w:ind w:left="1623" w:hanging="768"/>
      </w:pPr>
      <w:rPr>
        <w:rFonts w:hint="default"/>
      </w:rPr>
    </w:lvl>
    <w:lvl w:ilvl="2">
      <w:start w:val="14"/>
      <w:numFmt w:val="decimal"/>
      <w:isLgl/>
      <w:lvlText w:val="%1.%2.%3"/>
      <w:lvlJc w:val="left"/>
      <w:pPr>
        <w:ind w:left="1623" w:hanging="768"/>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3" w15:restartNumberingAfterBreak="0">
    <w:nsid w:val="4B681AE7"/>
    <w:multiLevelType w:val="hybridMultilevel"/>
    <w:tmpl w:val="C41AA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65506DE0"/>
    <w:multiLevelType w:val="hybridMultilevel"/>
    <w:tmpl w:val="8D207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0785"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4A"/>
    <w:rsid w:val="00094507"/>
    <w:rsid w:val="00094E0D"/>
    <w:rsid w:val="000D058F"/>
    <w:rsid w:val="00125F38"/>
    <w:rsid w:val="001603F1"/>
    <w:rsid w:val="00226702"/>
    <w:rsid w:val="00240CB2"/>
    <w:rsid w:val="00270C02"/>
    <w:rsid w:val="002A2224"/>
    <w:rsid w:val="002A3C47"/>
    <w:rsid w:val="002B36BE"/>
    <w:rsid w:val="002E222D"/>
    <w:rsid w:val="003D28A3"/>
    <w:rsid w:val="003D794A"/>
    <w:rsid w:val="00425FA1"/>
    <w:rsid w:val="00493BC1"/>
    <w:rsid w:val="00561231"/>
    <w:rsid w:val="00574ADF"/>
    <w:rsid w:val="00580F48"/>
    <w:rsid w:val="00597782"/>
    <w:rsid w:val="005B464B"/>
    <w:rsid w:val="00606BC4"/>
    <w:rsid w:val="0063304A"/>
    <w:rsid w:val="006761B6"/>
    <w:rsid w:val="008B0FCF"/>
    <w:rsid w:val="008D7718"/>
    <w:rsid w:val="00970CE0"/>
    <w:rsid w:val="009C1ED7"/>
    <w:rsid w:val="009D395B"/>
    <w:rsid w:val="009F338C"/>
    <w:rsid w:val="00A17AE0"/>
    <w:rsid w:val="00A46CC4"/>
    <w:rsid w:val="00A53036"/>
    <w:rsid w:val="00A81ED2"/>
    <w:rsid w:val="00A93108"/>
    <w:rsid w:val="00AD17B2"/>
    <w:rsid w:val="00BA485C"/>
    <w:rsid w:val="00C25AC5"/>
    <w:rsid w:val="00D25731"/>
    <w:rsid w:val="00DA23EB"/>
    <w:rsid w:val="00DF201C"/>
    <w:rsid w:val="00E47662"/>
    <w:rsid w:val="00FA1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05168-37DC-467C-A2B0-BD2C64064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0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A23E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qFormat/>
    <w:rsid w:val="0063304A"/>
    <w:pPr>
      <w:spacing w:before="100" w:beforeAutospacing="1" w:after="100" w:afterAutospacing="1"/>
      <w:outlineLvl w:val="2"/>
    </w:pPr>
    <w:rPr>
      <w:b/>
      <w:bCs/>
      <w:sz w:val="27"/>
      <w:szCs w:val="27"/>
    </w:rPr>
  </w:style>
  <w:style w:type="paragraph" w:styleId="4">
    <w:name w:val="heading 4"/>
    <w:basedOn w:val="a"/>
    <w:link w:val="40"/>
    <w:qFormat/>
    <w:rsid w:val="0063304A"/>
    <w:pPr>
      <w:spacing w:before="100" w:beforeAutospacing="1" w:after="100" w:afterAutospacing="1"/>
      <w:outlineLvl w:val="3"/>
    </w:pPr>
    <w:rPr>
      <w:b/>
      <w:bCs/>
    </w:rPr>
  </w:style>
  <w:style w:type="paragraph" w:styleId="5">
    <w:name w:val="heading 5"/>
    <w:basedOn w:val="a"/>
    <w:link w:val="50"/>
    <w:qFormat/>
    <w:rsid w:val="0063304A"/>
    <w:pPr>
      <w:spacing w:before="100" w:beforeAutospacing="1" w:after="100" w:afterAutospacing="1"/>
      <w:outlineLvl w:val="4"/>
    </w:pPr>
    <w:rPr>
      <w:b/>
      <w:bCs/>
      <w:sz w:val="20"/>
      <w:szCs w:val="20"/>
    </w:rPr>
  </w:style>
  <w:style w:type="paragraph" w:styleId="6">
    <w:name w:val="heading 6"/>
    <w:basedOn w:val="a"/>
    <w:next w:val="a"/>
    <w:link w:val="60"/>
    <w:uiPriority w:val="9"/>
    <w:semiHidden/>
    <w:unhideWhenUsed/>
    <w:qFormat/>
    <w:rsid w:val="00DF201C"/>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3304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3304A"/>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3304A"/>
    <w:rPr>
      <w:rFonts w:ascii="Times New Roman" w:eastAsia="Times New Roman" w:hAnsi="Times New Roman" w:cs="Times New Roman"/>
      <w:b/>
      <w:bCs/>
      <w:sz w:val="20"/>
      <w:szCs w:val="20"/>
      <w:lang w:eastAsia="ru-RU"/>
    </w:rPr>
  </w:style>
  <w:style w:type="paragraph" w:styleId="a3">
    <w:name w:val="Normal (Web)"/>
    <w:basedOn w:val="a"/>
    <w:rsid w:val="0063304A"/>
    <w:pPr>
      <w:spacing w:before="100" w:beforeAutospacing="1" w:after="100" w:afterAutospacing="1"/>
      <w:ind w:firstLine="720"/>
      <w:jc w:val="both"/>
    </w:pPr>
  </w:style>
  <w:style w:type="paragraph" w:styleId="a4">
    <w:name w:val="Balloon Text"/>
    <w:basedOn w:val="a"/>
    <w:link w:val="a5"/>
    <w:uiPriority w:val="99"/>
    <w:semiHidden/>
    <w:unhideWhenUsed/>
    <w:rsid w:val="002E222D"/>
    <w:rPr>
      <w:rFonts w:ascii="Segoe UI" w:hAnsi="Segoe UI" w:cs="Segoe UI"/>
      <w:sz w:val="18"/>
      <w:szCs w:val="18"/>
    </w:rPr>
  </w:style>
  <w:style w:type="character" w:customStyle="1" w:styleId="a5">
    <w:name w:val="Текст выноски Знак"/>
    <w:basedOn w:val="a0"/>
    <w:link w:val="a4"/>
    <w:uiPriority w:val="99"/>
    <w:semiHidden/>
    <w:rsid w:val="002E222D"/>
    <w:rPr>
      <w:rFonts w:ascii="Segoe UI" w:eastAsia="Times New Roman" w:hAnsi="Segoe UI" w:cs="Segoe UI"/>
      <w:sz w:val="18"/>
      <w:szCs w:val="18"/>
      <w:lang w:eastAsia="ru-RU"/>
    </w:rPr>
  </w:style>
  <w:style w:type="character" w:customStyle="1" w:styleId="60">
    <w:name w:val="Заголовок 6 Знак"/>
    <w:basedOn w:val="a0"/>
    <w:link w:val="6"/>
    <w:uiPriority w:val="9"/>
    <w:semiHidden/>
    <w:rsid w:val="00DF201C"/>
    <w:rPr>
      <w:rFonts w:asciiTheme="majorHAnsi" w:eastAsiaTheme="majorEastAsia" w:hAnsiTheme="majorHAnsi" w:cstheme="majorBidi"/>
      <w:color w:val="1F4D78" w:themeColor="accent1" w:themeShade="7F"/>
      <w:sz w:val="24"/>
      <w:szCs w:val="24"/>
      <w:lang w:eastAsia="ru-RU"/>
    </w:rPr>
  </w:style>
  <w:style w:type="character" w:styleId="a6">
    <w:name w:val="Hyperlink"/>
    <w:rsid w:val="00DF201C"/>
    <w:rPr>
      <w:color w:val="0563C1"/>
      <w:u w:val="single"/>
    </w:rPr>
  </w:style>
  <w:style w:type="character" w:customStyle="1" w:styleId="10">
    <w:name w:val="Заголовок 1 Знак"/>
    <w:basedOn w:val="a0"/>
    <w:link w:val="1"/>
    <w:rsid w:val="00DA23EB"/>
    <w:rPr>
      <w:rFonts w:asciiTheme="majorHAnsi" w:eastAsiaTheme="majorEastAsia" w:hAnsiTheme="majorHAnsi" w:cstheme="majorBidi"/>
      <w:color w:val="2E74B5" w:themeColor="accent1" w:themeShade="BF"/>
      <w:sz w:val="32"/>
      <w:szCs w:val="32"/>
      <w:lang w:eastAsia="ru-RU"/>
    </w:rPr>
  </w:style>
  <w:style w:type="character" w:customStyle="1" w:styleId="blk">
    <w:name w:val="blk"/>
    <w:basedOn w:val="a0"/>
    <w:rsid w:val="00DA23EB"/>
  </w:style>
  <w:style w:type="paragraph" w:styleId="a7">
    <w:name w:val="List Paragraph"/>
    <w:basedOn w:val="a"/>
    <w:uiPriority w:val="34"/>
    <w:qFormat/>
    <w:rsid w:val="00597782"/>
    <w:pPr>
      <w:spacing w:after="160" w:line="259" w:lineRule="auto"/>
      <w:ind w:left="720"/>
      <w:contextualSpacing/>
    </w:pPr>
    <w:rPr>
      <w:rFonts w:asciiTheme="minorHAnsi" w:eastAsiaTheme="minorEastAsia" w:hAnsiTheme="minorHAnsi" w:cstheme="minorBidi"/>
      <w:sz w:val="22"/>
      <w:szCs w:val="22"/>
    </w:rPr>
  </w:style>
  <w:style w:type="paragraph" w:styleId="a8">
    <w:name w:val="No Spacing"/>
    <w:link w:val="a9"/>
    <w:uiPriority w:val="1"/>
    <w:qFormat/>
    <w:rsid w:val="00597782"/>
    <w:pPr>
      <w:spacing w:after="0" w:line="240" w:lineRule="auto"/>
    </w:pPr>
    <w:rPr>
      <w:rFonts w:eastAsiaTheme="minorEastAsia"/>
      <w:lang w:eastAsia="ru-RU"/>
    </w:rPr>
  </w:style>
  <w:style w:type="paragraph" w:customStyle="1" w:styleId="11">
    <w:name w:val="Абзац списка1"/>
    <w:basedOn w:val="a"/>
    <w:rsid w:val="00597782"/>
    <w:pPr>
      <w:ind w:left="720"/>
      <w:contextualSpacing/>
    </w:pPr>
    <w:rPr>
      <w:szCs w:val="28"/>
    </w:rPr>
  </w:style>
  <w:style w:type="character" w:customStyle="1" w:styleId="u">
    <w:name w:val="u"/>
    <w:basedOn w:val="a0"/>
    <w:rsid w:val="00597782"/>
  </w:style>
  <w:style w:type="character" w:customStyle="1" w:styleId="a9">
    <w:name w:val="Без интервала Знак"/>
    <w:link w:val="a8"/>
    <w:uiPriority w:val="1"/>
    <w:locked/>
    <w:rsid w:val="00597782"/>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4536">
      <w:bodyDiv w:val="1"/>
      <w:marLeft w:val="0"/>
      <w:marRight w:val="0"/>
      <w:marTop w:val="0"/>
      <w:marBottom w:val="0"/>
      <w:divBdr>
        <w:top w:val="none" w:sz="0" w:space="0" w:color="auto"/>
        <w:left w:val="none" w:sz="0" w:space="0" w:color="auto"/>
        <w:bottom w:val="none" w:sz="0" w:space="0" w:color="auto"/>
        <w:right w:val="none" w:sz="0" w:space="0" w:color="auto"/>
      </w:divBdr>
      <w:divsChild>
        <w:div w:id="1341083941">
          <w:marLeft w:val="0"/>
          <w:marRight w:val="0"/>
          <w:marTop w:val="120"/>
          <w:marBottom w:val="0"/>
          <w:divBdr>
            <w:top w:val="none" w:sz="0" w:space="0" w:color="auto"/>
            <w:left w:val="none" w:sz="0" w:space="0" w:color="auto"/>
            <w:bottom w:val="none" w:sz="0" w:space="0" w:color="auto"/>
            <w:right w:val="none" w:sz="0" w:space="0" w:color="auto"/>
          </w:divBdr>
        </w:div>
      </w:divsChild>
    </w:div>
    <w:div w:id="141546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2491</Words>
  <Characters>14204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2016-05-16T09:27:00Z</cp:lastPrinted>
  <dcterms:created xsi:type="dcterms:W3CDTF">2016-06-09T09:19:00Z</dcterms:created>
  <dcterms:modified xsi:type="dcterms:W3CDTF">2016-06-09T09:19:00Z</dcterms:modified>
</cp:coreProperties>
</file>